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AF" w:rsidRDefault="006D05AF" w:rsidP="009C38F3">
      <w:pPr>
        <w:spacing w:after="0"/>
        <w:ind w:right="-24"/>
        <w:jc w:val="both"/>
        <w:rPr>
          <w:rFonts w:ascii="Arial" w:hAnsi="Arial" w:cs="Arial"/>
          <w:b/>
          <w:color w:val="1F497D" w:themeColor="text2"/>
          <w:sz w:val="20"/>
          <w:szCs w:val="20"/>
        </w:rPr>
      </w:pPr>
      <w:r>
        <w:rPr>
          <w:noProof/>
          <w:lang w:eastAsia="fr-FR"/>
        </w:rPr>
        <w:drawing>
          <wp:inline distT="0" distB="0" distL="0" distR="0" wp14:anchorId="62C0B77B" wp14:editId="164BE5B1">
            <wp:extent cx="1027315" cy="588900"/>
            <wp:effectExtent l="0" t="0" r="1905" b="0"/>
            <wp:docPr id="3" name="Image 3" descr="http://www.syage.org/wp-content/uploads/SYAGE_EPAGE_LOGO_CMJN-1-1024x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age.org/wp-content/uploads/SYAGE_EPAGE_LOGO_CMJN-1-1024x58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378" cy="598108"/>
                    </a:xfrm>
                    <a:prstGeom prst="rect">
                      <a:avLst/>
                    </a:prstGeom>
                    <a:noFill/>
                    <a:ln>
                      <a:noFill/>
                    </a:ln>
                  </pic:spPr>
                </pic:pic>
              </a:graphicData>
            </a:graphic>
          </wp:inline>
        </w:drawing>
      </w:r>
    </w:p>
    <w:p w:rsidR="00A5006B" w:rsidRPr="00A5006B" w:rsidRDefault="00A5006B" w:rsidP="00A5006B">
      <w:pPr>
        <w:spacing w:after="0" w:line="240" w:lineRule="auto"/>
        <w:jc w:val="both"/>
        <w:rPr>
          <w:rStyle w:val="lev"/>
          <w:rFonts w:ascii="Barlow" w:hAnsi="Barlow" w:cs="Arial"/>
          <w:b w:val="0"/>
          <w:color w:val="000000" w:themeColor="text1"/>
          <w:shd w:val="clear" w:color="auto" w:fill="FFFFFF"/>
        </w:rPr>
      </w:pPr>
      <w:r w:rsidRPr="00A5006B">
        <w:rPr>
          <w:rStyle w:val="lev"/>
          <w:rFonts w:ascii="Barlow" w:hAnsi="Barlow" w:cs="Arial"/>
          <w:b w:val="0"/>
          <w:color w:val="000000" w:themeColor="text1"/>
          <w:shd w:val="clear" w:color="auto" w:fill="FFFFFF"/>
        </w:rPr>
        <w:t>Depuis 70 ans, le SyAGE agit pour une gestion durable et intégrée de la ressource en eau. Il est l’acteur incontournable de la politique de l’eau du bassin versant de l’Yerres-Seine.</w:t>
      </w:r>
    </w:p>
    <w:p w:rsidR="00A5006B" w:rsidRPr="00A5006B" w:rsidRDefault="00A5006B" w:rsidP="00A5006B">
      <w:pPr>
        <w:spacing w:after="0" w:line="240" w:lineRule="auto"/>
        <w:jc w:val="both"/>
        <w:rPr>
          <w:rStyle w:val="lev"/>
          <w:rFonts w:ascii="Barlow" w:hAnsi="Barlow" w:cs="Arial"/>
          <w:b w:val="0"/>
          <w:color w:val="000000" w:themeColor="text1"/>
          <w:shd w:val="clear" w:color="auto" w:fill="FFFFFF"/>
        </w:rPr>
      </w:pPr>
      <w:r w:rsidRPr="00A5006B">
        <w:rPr>
          <w:rStyle w:val="lev"/>
          <w:rFonts w:ascii="Barlow" w:hAnsi="Barlow" w:cs="Arial"/>
          <w:b w:val="0"/>
          <w:color w:val="000000" w:themeColor="text1"/>
          <w:shd w:val="clear" w:color="auto" w:fill="FFFFFF"/>
        </w:rPr>
        <w:t>Le SyAGE est un syndicat mixte composé de 28 communes et de 25 groupements de communes, soit un total de 120 communes, répartis sur 3 départements (Essonne, Seine-et-Marne et Val-de-Marne). Ce regroupement permet à ces collectivités de mutualiser leurs moyens et d’engager des investissements qu’elles n’auraient pas pu réaliser séparément.</w:t>
      </w:r>
    </w:p>
    <w:p w:rsidR="00A5006B" w:rsidRDefault="00A5006B" w:rsidP="00A5006B">
      <w:pPr>
        <w:spacing w:after="0" w:line="240" w:lineRule="auto"/>
        <w:jc w:val="both"/>
        <w:rPr>
          <w:rStyle w:val="lev"/>
          <w:rFonts w:ascii="Barlow" w:hAnsi="Barlow" w:cs="Arial"/>
          <w:color w:val="000000" w:themeColor="text1"/>
          <w:shd w:val="clear" w:color="auto" w:fill="FFFFFF"/>
        </w:rPr>
      </w:pPr>
      <w:r w:rsidRPr="00A5006B">
        <w:rPr>
          <w:rStyle w:val="lev"/>
          <w:rFonts w:ascii="Barlow" w:hAnsi="Barlow" w:cs="Arial"/>
          <w:b w:val="0"/>
          <w:color w:val="000000" w:themeColor="text1"/>
          <w:shd w:val="clear" w:color="auto" w:fill="FFFFFF"/>
        </w:rPr>
        <w:t>Le SyAGE exerce 4 grandes compétences qui lui ont été déléguées par les collectivités adhérentes : les eaux usées, les eaux pluviales, les rivières et la biodiversité, le Schéma d’Aménagement et de Gestion des Eaux (SAGE). Celles-ci recouvrent des missions bien distinctes mais elles concourent à la même finalité : PRÉSERVER LA RESSOURCE EN EAU</w:t>
      </w:r>
      <w:r>
        <w:rPr>
          <w:rStyle w:val="lev"/>
          <w:rFonts w:ascii="Barlow" w:hAnsi="Barlow" w:cs="Arial"/>
          <w:color w:val="000000" w:themeColor="text1"/>
          <w:shd w:val="clear" w:color="auto" w:fill="FFFFFF"/>
        </w:rPr>
        <w:t>.</w:t>
      </w:r>
    </w:p>
    <w:p w:rsidR="00A5006B" w:rsidRPr="009002EA" w:rsidRDefault="00A5006B" w:rsidP="00A5006B">
      <w:pPr>
        <w:spacing w:after="0" w:line="240" w:lineRule="auto"/>
        <w:jc w:val="both"/>
        <w:rPr>
          <w:rStyle w:val="lev"/>
          <w:rFonts w:ascii="Barlow" w:hAnsi="Barlow" w:cs="Arial"/>
          <w:color w:val="000000" w:themeColor="text1"/>
          <w:shd w:val="clear" w:color="auto" w:fill="FFFFFF"/>
        </w:rPr>
      </w:pPr>
    </w:p>
    <w:p w:rsidR="00DF4330" w:rsidRPr="00251F40" w:rsidRDefault="00DF4330" w:rsidP="00DD5E41">
      <w:pPr>
        <w:spacing w:after="0"/>
        <w:jc w:val="both"/>
        <w:rPr>
          <w:rFonts w:ascii="Arial" w:hAnsi="Arial" w:cs="Arial"/>
          <w:b/>
          <w:color w:val="1F497D" w:themeColor="text2"/>
          <w:sz w:val="20"/>
          <w:szCs w:val="20"/>
        </w:rPr>
      </w:pPr>
    </w:p>
    <w:p w:rsidR="00660055" w:rsidRPr="00013DC7" w:rsidRDefault="00A5006B" w:rsidP="00251F40">
      <w:pPr>
        <w:spacing w:after="0" w:line="240" w:lineRule="auto"/>
        <w:jc w:val="center"/>
        <w:rPr>
          <w:rFonts w:ascii="Arial" w:hAnsi="Arial" w:cs="Arial"/>
          <w:b/>
          <w:color w:val="1F497D" w:themeColor="text2"/>
          <w:sz w:val="32"/>
          <w:szCs w:val="32"/>
        </w:rPr>
      </w:pPr>
      <w:r>
        <w:rPr>
          <w:rFonts w:ascii="Arial" w:hAnsi="Arial" w:cs="Arial"/>
          <w:b/>
          <w:color w:val="1F497D" w:themeColor="text2"/>
          <w:sz w:val="32"/>
          <w:szCs w:val="32"/>
        </w:rPr>
        <w:t xml:space="preserve">Le SyAGE </w:t>
      </w:r>
      <w:r w:rsidR="00660055" w:rsidRPr="00013DC7">
        <w:rPr>
          <w:rFonts w:ascii="Arial" w:hAnsi="Arial" w:cs="Arial"/>
          <w:b/>
          <w:color w:val="1F497D" w:themeColor="text2"/>
          <w:sz w:val="32"/>
          <w:szCs w:val="32"/>
        </w:rPr>
        <w:t>RECRUTE</w:t>
      </w:r>
    </w:p>
    <w:p w:rsidR="00585D70" w:rsidRPr="00585D70" w:rsidRDefault="00585D70" w:rsidP="00585D70">
      <w:pPr>
        <w:spacing w:after="0"/>
        <w:jc w:val="center"/>
        <w:rPr>
          <w:rFonts w:ascii="Arial" w:hAnsi="Arial" w:cs="Arial"/>
          <w:b/>
          <w:color w:val="4F81BD" w:themeColor="accent1"/>
          <w:sz w:val="20"/>
          <w:szCs w:val="20"/>
        </w:rPr>
      </w:pPr>
    </w:p>
    <w:p w:rsidR="00660055" w:rsidRDefault="00602742" w:rsidP="001745B8">
      <w:pPr>
        <w:pBdr>
          <w:top w:val="single" w:sz="4" w:space="1" w:color="auto"/>
          <w:left w:val="single" w:sz="4" w:space="0" w:color="auto"/>
          <w:bottom w:val="single" w:sz="4" w:space="1" w:color="auto"/>
          <w:right w:val="single" w:sz="4" w:space="0" w:color="auto"/>
        </w:pBdr>
        <w:shd w:val="clear" w:color="auto" w:fill="002060"/>
        <w:spacing w:after="0"/>
        <w:ind w:left="1474" w:right="1474"/>
        <w:jc w:val="center"/>
        <w:rPr>
          <w:b/>
          <w:color w:val="FFFFFF" w:themeColor="background1"/>
          <w:sz w:val="28"/>
          <w:szCs w:val="28"/>
        </w:rPr>
      </w:pPr>
      <w:r>
        <w:rPr>
          <w:b/>
          <w:color w:val="FFFFFF" w:themeColor="background1"/>
          <w:sz w:val="28"/>
          <w:szCs w:val="28"/>
        </w:rPr>
        <w:t xml:space="preserve">1 </w:t>
      </w:r>
      <w:r w:rsidR="00D5565F">
        <w:rPr>
          <w:b/>
          <w:color w:val="FFFFFF" w:themeColor="background1"/>
          <w:sz w:val="28"/>
          <w:szCs w:val="28"/>
        </w:rPr>
        <w:t xml:space="preserve">ANIMATEUR « ZONES HUMIDES » </w:t>
      </w:r>
      <w:r w:rsidR="00364400">
        <w:rPr>
          <w:b/>
          <w:color w:val="FFFFFF" w:themeColor="background1"/>
          <w:sz w:val="28"/>
          <w:szCs w:val="28"/>
        </w:rPr>
        <w:t xml:space="preserve">DE L’YERRES </w:t>
      </w:r>
      <w:r w:rsidR="00B02816">
        <w:rPr>
          <w:b/>
          <w:color w:val="FFFFFF" w:themeColor="background1"/>
          <w:sz w:val="28"/>
          <w:szCs w:val="28"/>
        </w:rPr>
        <w:t>(</w:t>
      </w:r>
      <w:r w:rsidR="00853694" w:rsidRPr="00013DC7">
        <w:rPr>
          <w:b/>
          <w:color w:val="FFFFFF" w:themeColor="background1"/>
          <w:sz w:val="28"/>
          <w:szCs w:val="28"/>
        </w:rPr>
        <w:t>h/f</w:t>
      </w:r>
      <w:r w:rsidR="00B02816">
        <w:rPr>
          <w:b/>
          <w:color w:val="FFFFFF" w:themeColor="background1"/>
          <w:sz w:val="28"/>
          <w:szCs w:val="28"/>
        </w:rPr>
        <w:t>)</w:t>
      </w:r>
    </w:p>
    <w:p w:rsidR="00853694" w:rsidRPr="00013DC7" w:rsidRDefault="008627AE" w:rsidP="001745B8">
      <w:pPr>
        <w:pBdr>
          <w:top w:val="single" w:sz="4" w:space="1" w:color="auto"/>
          <w:left w:val="single" w:sz="4" w:space="0" w:color="auto"/>
          <w:bottom w:val="single" w:sz="4" w:space="1" w:color="auto"/>
          <w:right w:val="single" w:sz="4" w:space="0" w:color="auto"/>
        </w:pBdr>
        <w:shd w:val="clear" w:color="auto" w:fill="002060"/>
        <w:spacing w:after="0"/>
        <w:ind w:left="1474" w:right="1474"/>
        <w:jc w:val="center"/>
        <w:rPr>
          <w:b/>
          <w:color w:val="FFFFFF" w:themeColor="background1"/>
          <w:sz w:val="28"/>
          <w:szCs w:val="28"/>
        </w:rPr>
      </w:pPr>
      <w:r>
        <w:rPr>
          <w:b/>
          <w:color w:val="FFFFFF" w:themeColor="background1"/>
          <w:sz w:val="28"/>
          <w:szCs w:val="28"/>
        </w:rPr>
        <w:t xml:space="preserve">POSTE </w:t>
      </w:r>
      <w:r w:rsidR="00EE6C7E">
        <w:rPr>
          <w:b/>
          <w:color w:val="FFFFFF" w:themeColor="background1"/>
          <w:sz w:val="28"/>
          <w:szCs w:val="28"/>
        </w:rPr>
        <w:t xml:space="preserve">DE </w:t>
      </w:r>
      <w:r>
        <w:rPr>
          <w:b/>
          <w:color w:val="FFFFFF" w:themeColor="background1"/>
          <w:sz w:val="28"/>
          <w:szCs w:val="28"/>
        </w:rPr>
        <w:t xml:space="preserve">CATEGORIE A </w:t>
      </w:r>
    </w:p>
    <w:p w:rsidR="00585D70" w:rsidRDefault="00585D70" w:rsidP="00585D70">
      <w:pPr>
        <w:spacing w:after="0"/>
        <w:jc w:val="center"/>
        <w:rPr>
          <w:b/>
          <w:color w:val="4F81BD" w:themeColor="accent1"/>
          <w:sz w:val="20"/>
          <w:szCs w:val="20"/>
        </w:rPr>
      </w:pPr>
    </w:p>
    <w:p w:rsidR="00D440B0" w:rsidRPr="00585D70" w:rsidRDefault="00D440B0" w:rsidP="00585D70">
      <w:pPr>
        <w:spacing w:after="0"/>
        <w:jc w:val="center"/>
        <w:rPr>
          <w:b/>
          <w:color w:val="4F81BD" w:themeColor="accent1"/>
          <w:sz w:val="20"/>
          <w:szCs w:val="20"/>
        </w:rPr>
      </w:pPr>
    </w:p>
    <w:p w:rsidR="00F72AA5" w:rsidRPr="00A5006B" w:rsidRDefault="00286B41" w:rsidP="00DD5E41">
      <w:pPr>
        <w:spacing w:after="0"/>
        <w:jc w:val="both"/>
        <w:rPr>
          <w:rFonts w:ascii="Barlow" w:hAnsi="Barlow"/>
          <w:b/>
        </w:rPr>
      </w:pPr>
      <w:r w:rsidRPr="00A5006B">
        <w:rPr>
          <w:rFonts w:ascii="Barlow" w:hAnsi="Barlow"/>
          <w:b/>
        </w:rPr>
        <w:t>P</w:t>
      </w:r>
      <w:r w:rsidR="005129AA" w:rsidRPr="00A5006B">
        <w:rPr>
          <w:rFonts w:ascii="Barlow" w:hAnsi="Barlow"/>
          <w:b/>
        </w:rPr>
        <w:t xml:space="preserve">lacé sous l’autorité </w:t>
      </w:r>
      <w:r w:rsidR="00F96721" w:rsidRPr="00A5006B">
        <w:rPr>
          <w:rFonts w:ascii="Barlow" w:hAnsi="Barlow"/>
          <w:b/>
        </w:rPr>
        <w:t xml:space="preserve">de la Cheffe du service </w:t>
      </w:r>
      <w:r w:rsidR="00097819" w:rsidRPr="00A5006B">
        <w:rPr>
          <w:rFonts w:ascii="Barlow" w:hAnsi="Barlow"/>
          <w:b/>
        </w:rPr>
        <w:t>Gestion des Milieux Aquatiques sur les affluents de l’Yerres en Seine-et-Marne</w:t>
      </w:r>
      <w:r w:rsidR="005129AA" w:rsidRPr="00A5006B">
        <w:rPr>
          <w:rFonts w:ascii="Barlow" w:hAnsi="Barlow"/>
          <w:b/>
        </w:rPr>
        <w:t xml:space="preserve">, </w:t>
      </w:r>
      <w:r w:rsidR="00750B1A" w:rsidRPr="00A5006B">
        <w:rPr>
          <w:rFonts w:ascii="Barlow" w:hAnsi="Barlow"/>
          <w:b/>
        </w:rPr>
        <w:t>l’animateur</w:t>
      </w:r>
      <w:r w:rsidR="000838F5" w:rsidRPr="00A5006B">
        <w:rPr>
          <w:rFonts w:ascii="Barlow" w:hAnsi="Barlow"/>
          <w:b/>
        </w:rPr>
        <w:t xml:space="preserve"> </w:t>
      </w:r>
      <w:r w:rsidR="00097819" w:rsidRPr="00A5006B">
        <w:rPr>
          <w:rFonts w:ascii="Barlow" w:hAnsi="Barlow"/>
          <w:b/>
        </w:rPr>
        <w:t>amorce puis pilote le Schéma Directeur des Zones Humides (SDZH) de l’Yerres. Il (elle) est l’interlocuteur privilégié pour tous les projets de gestion et/ou de restauration de zones humides sur le bassin versant et les deux communes de la confluence Yerres-Seine et tout projet impactant les zones humides.</w:t>
      </w:r>
    </w:p>
    <w:p w:rsidR="00364400" w:rsidRPr="00A5006B" w:rsidRDefault="00364400" w:rsidP="00DD5E41">
      <w:pPr>
        <w:spacing w:after="0"/>
        <w:jc w:val="both"/>
        <w:rPr>
          <w:rFonts w:ascii="Barlow" w:hAnsi="Barlow"/>
          <w:b/>
        </w:rPr>
      </w:pPr>
    </w:p>
    <w:p w:rsidR="00B02816" w:rsidRPr="00A5006B" w:rsidRDefault="00B02816" w:rsidP="00DD5E41">
      <w:pPr>
        <w:spacing w:after="120"/>
        <w:jc w:val="both"/>
        <w:rPr>
          <w:rFonts w:ascii="Barlow" w:hAnsi="Barlow"/>
          <w:b/>
        </w:rPr>
      </w:pPr>
      <w:r w:rsidRPr="00A5006B">
        <w:rPr>
          <w:rFonts w:ascii="Barlow" w:hAnsi="Barlow"/>
          <w:b/>
        </w:rPr>
        <w:t>Missions :</w:t>
      </w:r>
    </w:p>
    <w:p w:rsidR="003237E9" w:rsidRPr="00A5006B" w:rsidRDefault="009A1045" w:rsidP="00DD5E41">
      <w:pPr>
        <w:spacing w:after="120"/>
        <w:jc w:val="both"/>
        <w:rPr>
          <w:rFonts w:ascii="Barlow" w:hAnsi="Barlow"/>
        </w:rPr>
      </w:pPr>
      <w:r w:rsidRPr="00A5006B">
        <w:rPr>
          <w:rFonts w:ascii="Barlow" w:hAnsi="Barlow"/>
        </w:rPr>
        <w:t>Vous av</w:t>
      </w:r>
      <w:r w:rsidR="003237E9" w:rsidRPr="00A5006B">
        <w:rPr>
          <w:rFonts w:ascii="Barlow" w:hAnsi="Barlow"/>
        </w:rPr>
        <w:t>ez en charge notamment :</w:t>
      </w:r>
    </w:p>
    <w:p w:rsidR="00097819" w:rsidRPr="00A5006B" w:rsidRDefault="00097819" w:rsidP="00097819">
      <w:pPr>
        <w:pStyle w:val="Paragraphedeliste"/>
        <w:numPr>
          <w:ilvl w:val="0"/>
          <w:numId w:val="2"/>
        </w:numPr>
        <w:spacing w:after="120"/>
        <w:jc w:val="both"/>
        <w:rPr>
          <w:rFonts w:ascii="Barlow" w:hAnsi="Barlow" w:cstheme="minorHAnsi"/>
          <w:szCs w:val="20"/>
        </w:rPr>
      </w:pPr>
      <w:r w:rsidRPr="00A5006B">
        <w:rPr>
          <w:rFonts w:ascii="Barlow" w:hAnsi="Barlow" w:cstheme="minorHAnsi"/>
          <w:szCs w:val="20"/>
        </w:rPr>
        <w:t>D’amorcer puis piloter avec la cheffe de service l’élaboration du schéma directeur des zones humides du bassin versant ;</w:t>
      </w:r>
    </w:p>
    <w:p w:rsidR="00097819" w:rsidRPr="00A5006B" w:rsidRDefault="00097819" w:rsidP="00097819">
      <w:pPr>
        <w:pStyle w:val="Paragraphedeliste"/>
        <w:numPr>
          <w:ilvl w:val="0"/>
          <w:numId w:val="2"/>
        </w:numPr>
        <w:jc w:val="both"/>
        <w:rPr>
          <w:rFonts w:ascii="Barlow" w:hAnsi="Barlow" w:cstheme="minorHAnsi"/>
          <w:szCs w:val="20"/>
        </w:rPr>
      </w:pPr>
      <w:r w:rsidRPr="00A5006B">
        <w:rPr>
          <w:rFonts w:ascii="Barlow" w:hAnsi="Barlow" w:cstheme="minorHAnsi"/>
          <w:szCs w:val="20"/>
        </w:rPr>
        <w:t>De recenser les potentialités de restauration voire de création de zones humides à l’échelle du bassin versant (déclinaison des études/documents disponibles dans le cadre du SAGE, PAPI, de la GeMAPI…) ;</w:t>
      </w:r>
    </w:p>
    <w:p w:rsidR="00097819" w:rsidRPr="00A5006B" w:rsidRDefault="00097819" w:rsidP="00097819">
      <w:pPr>
        <w:pStyle w:val="Paragraphedeliste"/>
        <w:numPr>
          <w:ilvl w:val="0"/>
          <w:numId w:val="2"/>
        </w:numPr>
        <w:jc w:val="both"/>
        <w:rPr>
          <w:rFonts w:ascii="Barlow" w:hAnsi="Barlow" w:cstheme="minorHAnsi"/>
          <w:szCs w:val="20"/>
        </w:rPr>
      </w:pPr>
      <w:r w:rsidRPr="00A5006B">
        <w:rPr>
          <w:rFonts w:ascii="Barlow" w:hAnsi="Barlow" w:cstheme="minorHAnsi"/>
          <w:szCs w:val="20"/>
        </w:rPr>
        <w:t>De recenser et d’évaluer l’ensemble des outils techniques, financiers et fonciers permettant d’asseoir la mise en œuvre de la politique d’acquisition / restauration / entretien des zones humides en lien avec les différents acteurs concernés</w:t>
      </w:r>
    </w:p>
    <w:p w:rsidR="00097819" w:rsidRPr="00A5006B" w:rsidRDefault="00097819" w:rsidP="00097819">
      <w:pPr>
        <w:pStyle w:val="Paragraphedeliste"/>
        <w:numPr>
          <w:ilvl w:val="0"/>
          <w:numId w:val="2"/>
        </w:numPr>
        <w:jc w:val="both"/>
        <w:rPr>
          <w:rFonts w:ascii="Barlow" w:hAnsi="Barlow" w:cstheme="minorHAnsi"/>
          <w:szCs w:val="20"/>
        </w:rPr>
      </w:pPr>
      <w:r w:rsidRPr="00A5006B">
        <w:rPr>
          <w:rFonts w:ascii="Barlow" w:hAnsi="Barlow" w:cstheme="minorHAnsi"/>
          <w:szCs w:val="20"/>
        </w:rPr>
        <w:t>D’accompagner techniquement les projets de zones humides (conduite de projet</w:t>
      </w:r>
      <w:r w:rsidR="0016793B">
        <w:rPr>
          <w:rFonts w:ascii="Barlow" w:hAnsi="Barlow" w:cstheme="minorHAnsi"/>
          <w:szCs w:val="20"/>
        </w:rPr>
        <w:t xml:space="preserve">s zones humides portés par les </w:t>
      </w:r>
      <w:r w:rsidRPr="00A5006B">
        <w:rPr>
          <w:rFonts w:ascii="Barlow" w:hAnsi="Barlow" w:cstheme="minorHAnsi"/>
          <w:szCs w:val="20"/>
        </w:rPr>
        <w:t xml:space="preserve">services </w:t>
      </w:r>
      <w:r w:rsidR="0016793B">
        <w:rPr>
          <w:rFonts w:ascii="Barlow" w:hAnsi="Barlow" w:cstheme="minorHAnsi"/>
          <w:szCs w:val="20"/>
        </w:rPr>
        <w:t xml:space="preserve">opérationnels de la </w:t>
      </w:r>
      <w:bookmarkStart w:id="0" w:name="_GoBack"/>
      <w:bookmarkEnd w:id="0"/>
      <w:r w:rsidRPr="00A5006B">
        <w:rPr>
          <w:rFonts w:ascii="Barlow" w:hAnsi="Barlow" w:cstheme="minorHAnsi"/>
          <w:szCs w:val="20"/>
        </w:rPr>
        <w:t>GeMA) ;</w:t>
      </w:r>
    </w:p>
    <w:p w:rsidR="00097819" w:rsidRPr="00A5006B" w:rsidRDefault="00097819" w:rsidP="00097819">
      <w:pPr>
        <w:pStyle w:val="Paragraphedeliste"/>
        <w:numPr>
          <w:ilvl w:val="0"/>
          <w:numId w:val="2"/>
        </w:numPr>
        <w:jc w:val="both"/>
        <w:rPr>
          <w:rFonts w:ascii="Barlow" w:hAnsi="Barlow" w:cstheme="minorHAnsi"/>
          <w:szCs w:val="20"/>
        </w:rPr>
      </w:pPr>
      <w:r w:rsidRPr="00A5006B">
        <w:rPr>
          <w:rFonts w:ascii="Barlow" w:hAnsi="Barlow" w:cstheme="minorHAnsi"/>
          <w:szCs w:val="20"/>
        </w:rPr>
        <w:t>De mobiliser les collectivités/agriculteurs/propriétaires concernés (en particulier via un porter à connaissance aux comités de pilotage du CTEC et du SAGE) et accompagner les acteurs locaux à l'émergence de projets (acquisition, restauration) ;</w:t>
      </w:r>
    </w:p>
    <w:p w:rsidR="00097819" w:rsidRPr="00A5006B" w:rsidRDefault="00097819" w:rsidP="00097819">
      <w:pPr>
        <w:pStyle w:val="Paragraphedeliste"/>
        <w:numPr>
          <w:ilvl w:val="0"/>
          <w:numId w:val="2"/>
        </w:numPr>
        <w:jc w:val="both"/>
        <w:rPr>
          <w:rFonts w:ascii="Barlow" w:hAnsi="Barlow" w:cstheme="minorHAnsi"/>
          <w:szCs w:val="20"/>
        </w:rPr>
      </w:pPr>
      <w:r w:rsidRPr="00A5006B">
        <w:rPr>
          <w:rFonts w:ascii="Barlow" w:hAnsi="Barlow" w:cstheme="minorHAnsi"/>
          <w:szCs w:val="20"/>
        </w:rPr>
        <w:t>De conseiller les porteurs de projets sur les outils de préservation/restauration de la stratégie foncière du SAGE.</w:t>
      </w:r>
    </w:p>
    <w:p w:rsidR="0009699B" w:rsidRPr="00A5006B" w:rsidRDefault="0009699B" w:rsidP="0009699B">
      <w:pPr>
        <w:rPr>
          <w:rFonts w:ascii="Barlow" w:hAnsi="Barlow"/>
          <w:b/>
        </w:rPr>
      </w:pPr>
      <w:r w:rsidRPr="00A5006B">
        <w:rPr>
          <w:rFonts w:ascii="Barlow" w:hAnsi="Barlow"/>
          <w:b/>
        </w:rPr>
        <w:t>Profil :</w:t>
      </w:r>
    </w:p>
    <w:p w:rsidR="00660055" w:rsidRPr="00A5006B" w:rsidRDefault="00660055" w:rsidP="00660055">
      <w:pPr>
        <w:pStyle w:val="Paragraphedeliste"/>
        <w:numPr>
          <w:ilvl w:val="0"/>
          <w:numId w:val="4"/>
        </w:numPr>
        <w:spacing w:after="0"/>
        <w:rPr>
          <w:rFonts w:ascii="Barlow" w:hAnsi="Barlow"/>
        </w:rPr>
      </w:pPr>
      <w:r w:rsidRPr="00A5006B">
        <w:rPr>
          <w:rFonts w:ascii="Barlow" w:hAnsi="Barlow"/>
        </w:rPr>
        <w:t>Expérience professionnelle dans un poste similaire</w:t>
      </w:r>
      <w:r w:rsidR="00DB21FC" w:rsidRPr="00A5006B">
        <w:rPr>
          <w:rFonts w:ascii="Barlow" w:hAnsi="Barlow"/>
        </w:rPr>
        <w:t xml:space="preserve"> fortement</w:t>
      </w:r>
      <w:r w:rsidRPr="00A5006B">
        <w:rPr>
          <w:rFonts w:ascii="Barlow" w:hAnsi="Barlow"/>
        </w:rPr>
        <w:t xml:space="preserve"> </w:t>
      </w:r>
      <w:r w:rsidR="00317D20" w:rsidRPr="00A5006B">
        <w:rPr>
          <w:rFonts w:ascii="Barlow" w:hAnsi="Barlow"/>
        </w:rPr>
        <w:t>appréciée</w:t>
      </w:r>
    </w:p>
    <w:p w:rsidR="00034D27" w:rsidRPr="00A5006B" w:rsidRDefault="00D31532" w:rsidP="00660055">
      <w:pPr>
        <w:pStyle w:val="Paragraphedeliste"/>
        <w:numPr>
          <w:ilvl w:val="0"/>
          <w:numId w:val="4"/>
        </w:numPr>
        <w:spacing w:after="0"/>
        <w:rPr>
          <w:rFonts w:ascii="Barlow" w:hAnsi="Barlow"/>
        </w:rPr>
      </w:pPr>
      <w:r w:rsidRPr="00A5006B">
        <w:rPr>
          <w:rFonts w:ascii="Barlow" w:hAnsi="Barlow"/>
        </w:rPr>
        <w:t xml:space="preserve">Bac +5 </w:t>
      </w:r>
      <w:r w:rsidR="002E443F" w:rsidRPr="00A5006B">
        <w:rPr>
          <w:rFonts w:ascii="Barlow" w:hAnsi="Barlow"/>
        </w:rPr>
        <w:t xml:space="preserve">ou expérience significative </w:t>
      </w:r>
      <w:r w:rsidR="00DB21FC" w:rsidRPr="00A5006B">
        <w:rPr>
          <w:rFonts w:ascii="Barlow" w:hAnsi="Barlow"/>
        </w:rPr>
        <w:t>en écologie et</w:t>
      </w:r>
      <w:r w:rsidRPr="00A5006B">
        <w:rPr>
          <w:rFonts w:ascii="Barlow" w:hAnsi="Barlow"/>
        </w:rPr>
        <w:t xml:space="preserve"> gestion des milieux aquatiques</w:t>
      </w:r>
      <w:r w:rsidR="00D5565F" w:rsidRPr="00A5006B">
        <w:rPr>
          <w:rFonts w:ascii="Barlow" w:hAnsi="Barlow"/>
        </w:rPr>
        <w:t xml:space="preserve"> </w:t>
      </w:r>
    </w:p>
    <w:p w:rsidR="00D5565F" w:rsidRPr="00A5006B" w:rsidRDefault="00D5565F" w:rsidP="00660055">
      <w:pPr>
        <w:pStyle w:val="Paragraphedeliste"/>
        <w:numPr>
          <w:ilvl w:val="0"/>
          <w:numId w:val="4"/>
        </w:numPr>
        <w:spacing w:after="0"/>
        <w:rPr>
          <w:rFonts w:ascii="Barlow" w:hAnsi="Barlow"/>
        </w:rPr>
      </w:pPr>
      <w:r w:rsidRPr="00A5006B">
        <w:rPr>
          <w:rFonts w:ascii="Barlow" w:hAnsi="Barlow"/>
        </w:rPr>
        <w:t>Connaissances techniques et réglementaires des domaines liés à l'eau et particulièrement aux milieux humides (habitat, faune, flore)</w:t>
      </w:r>
    </w:p>
    <w:p w:rsidR="00F96721" w:rsidRPr="00A5006B" w:rsidRDefault="00DB21FC" w:rsidP="00F96721">
      <w:pPr>
        <w:pStyle w:val="Paragraphedeliste"/>
        <w:numPr>
          <w:ilvl w:val="0"/>
          <w:numId w:val="4"/>
        </w:numPr>
        <w:spacing w:after="0"/>
        <w:rPr>
          <w:rFonts w:ascii="Barlow" w:hAnsi="Barlow"/>
        </w:rPr>
      </w:pPr>
      <w:r w:rsidRPr="00A5006B">
        <w:rPr>
          <w:rFonts w:ascii="Barlow" w:hAnsi="Barlow"/>
        </w:rPr>
        <w:lastRenderedPageBreak/>
        <w:t>Connaissance indispensable des méthodologies d’inventaire des milieux humides</w:t>
      </w:r>
      <w:r w:rsidR="00F96721" w:rsidRPr="00A5006B">
        <w:rPr>
          <w:rFonts w:ascii="Barlow" w:hAnsi="Barlow"/>
        </w:rPr>
        <w:t xml:space="preserve"> (botanique et pédologie)</w:t>
      </w:r>
    </w:p>
    <w:p w:rsidR="00F96721" w:rsidRPr="00A5006B" w:rsidRDefault="00F96721" w:rsidP="00F96721">
      <w:pPr>
        <w:pStyle w:val="Paragraphedeliste"/>
        <w:numPr>
          <w:ilvl w:val="0"/>
          <w:numId w:val="4"/>
        </w:numPr>
        <w:spacing w:after="0"/>
        <w:rPr>
          <w:rFonts w:ascii="Barlow" w:hAnsi="Barlow"/>
        </w:rPr>
      </w:pPr>
      <w:r w:rsidRPr="00A5006B">
        <w:rPr>
          <w:rFonts w:ascii="Barlow" w:hAnsi="Barlow"/>
        </w:rPr>
        <w:t>Capacités affirmées d’animation et de coordination, mobilisation de partenaires et création de réseaux entre acteurs de profils variés (collectivités, agriculteurs, entreprises, particuliers, institutionnels, etc.)</w:t>
      </w:r>
    </w:p>
    <w:p w:rsidR="00036CEA" w:rsidRPr="00A5006B" w:rsidRDefault="009C4DBB" w:rsidP="00660055">
      <w:pPr>
        <w:pStyle w:val="Paragraphedeliste"/>
        <w:numPr>
          <w:ilvl w:val="0"/>
          <w:numId w:val="4"/>
        </w:numPr>
        <w:spacing w:after="0"/>
        <w:rPr>
          <w:rFonts w:ascii="Barlow" w:hAnsi="Barlow"/>
        </w:rPr>
      </w:pPr>
      <w:r w:rsidRPr="00A5006B">
        <w:rPr>
          <w:rFonts w:ascii="Barlow" w:hAnsi="Barlow"/>
        </w:rPr>
        <w:t>Rigueur, capacité</w:t>
      </w:r>
      <w:r w:rsidR="00036CEA" w:rsidRPr="00A5006B">
        <w:rPr>
          <w:rFonts w:ascii="Barlow" w:hAnsi="Barlow"/>
        </w:rPr>
        <w:t xml:space="preserve"> d’organisation, </w:t>
      </w:r>
      <w:r w:rsidR="008E14D7" w:rsidRPr="00A5006B">
        <w:rPr>
          <w:rFonts w:ascii="Barlow" w:hAnsi="Barlow"/>
        </w:rPr>
        <w:t xml:space="preserve">d’anticipation, </w:t>
      </w:r>
      <w:r w:rsidR="00864344" w:rsidRPr="00A5006B">
        <w:rPr>
          <w:rFonts w:ascii="Barlow" w:hAnsi="Barlow"/>
        </w:rPr>
        <w:t xml:space="preserve">autonomie, </w:t>
      </w:r>
      <w:r w:rsidR="00036CEA" w:rsidRPr="00A5006B">
        <w:rPr>
          <w:rFonts w:ascii="Barlow" w:hAnsi="Barlow"/>
        </w:rPr>
        <w:t>esprit de synthèse et d’analyse</w:t>
      </w:r>
    </w:p>
    <w:p w:rsidR="00D5565F" w:rsidRPr="00A5006B" w:rsidRDefault="00D5565F" w:rsidP="00D5565F">
      <w:pPr>
        <w:pStyle w:val="Paragraphedeliste"/>
        <w:numPr>
          <w:ilvl w:val="0"/>
          <w:numId w:val="4"/>
        </w:numPr>
        <w:spacing w:after="0"/>
        <w:rPr>
          <w:rFonts w:ascii="Barlow" w:hAnsi="Barlow"/>
        </w:rPr>
      </w:pPr>
      <w:r w:rsidRPr="00A5006B">
        <w:rPr>
          <w:rFonts w:ascii="Barlow" w:hAnsi="Barlow"/>
        </w:rPr>
        <w:t>Connaissance et expérience en communication / animation territoriale auprès de différents publics</w:t>
      </w:r>
      <w:r w:rsidR="00DB21FC" w:rsidRPr="00A5006B">
        <w:rPr>
          <w:rFonts w:ascii="Barlow" w:hAnsi="Barlow"/>
        </w:rPr>
        <w:t xml:space="preserve"> (</w:t>
      </w:r>
      <w:r w:rsidRPr="00A5006B">
        <w:rPr>
          <w:rFonts w:ascii="Barlow" w:hAnsi="Barlow"/>
        </w:rPr>
        <w:t>élus</w:t>
      </w:r>
      <w:r w:rsidR="00DB21FC" w:rsidRPr="00A5006B">
        <w:rPr>
          <w:rFonts w:ascii="Barlow" w:hAnsi="Barlow"/>
        </w:rPr>
        <w:t>, usagers et acteurs de l’eau…)</w:t>
      </w:r>
    </w:p>
    <w:p w:rsidR="00361EE0" w:rsidRPr="00A5006B" w:rsidRDefault="00361EE0" w:rsidP="00660055">
      <w:pPr>
        <w:pStyle w:val="Paragraphedeliste"/>
        <w:numPr>
          <w:ilvl w:val="0"/>
          <w:numId w:val="4"/>
        </w:numPr>
        <w:spacing w:after="0"/>
        <w:rPr>
          <w:rFonts w:ascii="Barlow" w:hAnsi="Barlow"/>
        </w:rPr>
      </w:pPr>
      <w:r w:rsidRPr="00A5006B">
        <w:rPr>
          <w:rFonts w:ascii="Barlow" w:hAnsi="Barlow"/>
        </w:rPr>
        <w:t xml:space="preserve">Capacité à travailler en </w:t>
      </w:r>
      <w:r w:rsidR="00864344" w:rsidRPr="00A5006B">
        <w:rPr>
          <w:rFonts w:ascii="Barlow" w:hAnsi="Barlow"/>
        </w:rPr>
        <w:t>transversalité</w:t>
      </w:r>
    </w:p>
    <w:p w:rsidR="00036CEA" w:rsidRPr="00A5006B" w:rsidRDefault="00036CEA" w:rsidP="00660055">
      <w:pPr>
        <w:pStyle w:val="Paragraphedeliste"/>
        <w:numPr>
          <w:ilvl w:val="0"/>
          <w:numId w:val="4"/>
        </w:numPr>
        <w:spacing w:after="0"/>
        <w:rPr>
          <w:rFonts w:ascii="Barlow" w:hAnsi="Barlow"/>
        </w:rPr>
      </w:pPr>
      <w:r w:rsidRPr="00A5006B">
        <w:rPr>
          <w:rFonts w:ascii="Barlow" w:hAnsi="Barlow"/>
        </w:rPr>
        <w:t>Force de proposition, qualités relationnelles et rédactionnelles</w:t>
      </w:r>
    </w:p>
    <w:p w:rsidR="00036CEA" w:rsidRPr="00A5006B" w:rsidRDefault="00036CEA" w:rsidP="009C38F3">
      <w:pPr>
        <w:pStyle w:val="Paragraphedeliste"/>
        <w:numPr>
          <w:ilvl w:val="0"/>
          <w:numId w:val="4"/>
        </w:numPr>
        <w:spacing w:after="0"/>
        <w:jc w:val="both"/>
        <w:rPr>
          <w:rFonts w:ascii="Barlow" w:hAnsi="Barlow"/>
        </w:rPr>
      </w:pPr>
      <w:r w:rsidRPr="00A5006B">
        <w:rPr>
          <w:rFonts w:ascii="Barlow" w:hAnsi="Barlow"/>
        </w:rPr>
        <w:t>C</w:t>
      </w:r>
      <w:r w:rsidR="007C6CAC" w:rsidRPr="00A5006B">
        <w:rPr>
          <w:rFonts w:ascii="Barlow" w:hAnsi="Barlow"/>
        </w:rPr>
        <w:t xml:space="preserve">onnaissances de l’environnement </w:t>
      </w:r>
      <w:r w:rsidR="00750B1A" w:rsidRPr="00A5006B">
        <w:rPr>
          <w:rFonts w:ascii="Barlow" w:hAnsi="Barlow"/>
        </w:rPr>
        <w:t xml:space="preserve">territorial </w:t>
      </w:r>
      <w:r w:rsidRPr="00A5006B">
        <w:rPr>
          <w:rFonts w:ascii="Barlow" w:hAnsi="Barlow"/>
        </w:rPr>
        <w:t>(fina</w:t>
      </w:r>
      <w:r w:rsidR="00B476DA" w:rsidRPr="00A5006B">
        <w:rPr>
          <w:rFonts w:ascii="Barlow" w:hAnsi="Barlow"/>
        </w:rPr>
        <w:t>nces publiques, marchés publics,</w:t>
      </w:r>
      <w:r w:rsidR="007C6CAC" w:rsidRPr="00A5006B">
        <w:rPr>
          <w:rFonts w:ascii="Barlow" w:hAnsi="Barlow"/>
        </w:rPr>
        <w:t xml:space="preserve"> réforme de l’organisation territoriale</w:t>
      </w:r>
      <w:r w:rsidRPr="00A5006B">
        <w:rPr>
          <w:rFonts w:ascii="Barlow" w:hAnsi="Barlow"/>
        </w:rPr>
        <w:t>…)</w:t>
      </w:r>
    </w:p>
    <w:p w:rsidR="00B476DA" w:rsidRPr="00A5006B" w:rsidRDefault="00B476DA" w:rsidP="00660055">
      <w:pPr>
        <w:pStyle w:val="Paragraphedeliste"/>
        <w:numPr>
          <w:ilvl w:val="0"/>
          <w:numId w:val="4"/>
        </w:numPr>
        <w:spacing w:after="0"/>
        <w:rPr>
          <w:rFonts w:ascii="Barlow" w:hAnsi="Barlow"/>
        </w:rPr>
      </w:pPr>
      <w:r w:rsidRPr="00A5006B">
        <w:rPr>
          <w:rFonts w:ascii="Barlow" w:hAnsi="Barlow"/>
        </w:rPr>
        <w:t xml:space="preserve">Connaissance en droit de l’environnement </w:t>
      </w:r>
    </w:p>
    <w:p w:rsidR="00036CEA" w:rsidRPr="00A5006B" w:rsidRDefault="00034D27" w:rsidP="00660055">
      <w:pPr>
        <w:pStyle w:val="Paragraphedeliste"/>
        <w:numPr>
          <w:ilvl w:val="0"/>
          <w:numId w:val="4"/>
        </w:numPr>
        <w:spacing w:after="0"/>
        <w:rPr>
          <w:rFonts w:ascii="Barlow" w:hAnsi="Barlow"/>
        </w:rPr>
      </w:pPr>
      <w:r w:rsidRPr="00A5006B">
        <w:rPr>
          <w:rFonts w:ascii="Barlow" w:hAnsi="Barlow"/>
        </w:rPr>
        <w:t>Maîtrise de l’o</w:t>
      </w:r>
      <w:r w:rsidR="00036CEA" w:rsidRPr="00A5006B">
        <w:rPr>
          <w:rFonts w:ascii="Barlow" w:hAnsi="Barlow"/>
        </w:rPr>
        <w:t>util informatique</w:t>
      </w:r>
      <w:r w:rsidRPr="00A5006B">
        <w:rPr>
          <w:rFonts w:ascii="Barlow" w:hAnsi="Barlow"/>
        </w:rPr>
        <w:t xml:space="preserve"> (</w:t>
      </w:r>
      <w:r w:rsidR="00F96721" w:rsidRPr="00A5006B">
        <w:rPr>
          <w:rFonts w:ascii="Barlow" w:hAnsi="Barlow"/>
        </w:rPr>
        <w:t>Excel, Word, Powerpoint) et cartographique (QGIS)</w:t>
      </w:r>
    </w:p>
    <w:p w:rsidR="00036CEA" w:rsidRPr="00A5006B" w:rsidRDefault="009C4DBB" w:rsidP="00660055">
      <w:pPr>
        <w:pStyle w:val="Paragraphedeliste"/>
        <w:numPr>
          <w:ilvl w:val="0"/>
          <w:numId w:val="4"/>
        </w:numPr>
        <w:spacing w:after="0"/>
        <w:rPr>
          <w:rFonts w:ascii="Barlow" w:hAnsi="Barlow"/>
        </w:rPr>
      </w:pPr>
      <w:r w:rsidRPr="00A5006B">
        <w:rPr>
          <w:rFonts w:ascii="Barlow" w:hAnsi="Barlow"/>
        </w:rPr>
        <w:t>D</w:t>
      </w:r>
      <w:r w:rsidR="00036CEA" w:rsidRPr="00A5006B">
        <w:rPr>
          <w:rFonts w:ascii="Barlow" w:hAnsi="Barlow"/>
        </w:rPr>
        <w:t>isponibilité</w:t>
      </w:r>
      <w:r w:rsidR="00B476DA" w:rsidRPr="00A5006B">
        <w:rPr>
          <w:rFonts w:ascii="Barlow" w:hAnsi="Barlow"/>
        </w:rPr>
        <w:t xml:space="preserve"> </w:t>
      </w:r>
      <w:r w:rsidR="009A1045" w:rsidRPr="00A5006B">
        <w:rPr>
          <w:rFonts w:ascii="Barlow" w:hAnsi="Barlow"/>
        </w:rPr>
        <w:t>et mobilité sur le territoire du SyAGE</w:t>
      </w:r>
      <w:r w:rsidR="00F96721" w:rsidRPr="00A5006B">
        <w:rPr>
          <w:rFonts w:ascii="Barlow" w:hAnsi="Barlow"/>
        </w:rPr>
        <w:t xml:space="preserve"> </w:t>
      </w:r>
    </w:p>
    <w:p w:rsidR="00364400" w:rsidRPr="00A5006B" w:rsidRDefault="00364400" w:rsidP="00B476DA">
      <w:pPr>
        <w:pStyle w:val="Paragraphedeliste"/>
        <w:numPr>
          <w:ilvl w:val="0"/>
          <w:numId w:val="4"/>
        </w:numPr>
        <w:spacing w:after="0"/>
        <w:rPr>
          <w:rFonts w:ascii="Barlow" w:hAnsi="Barlow"/>
        </w:rPr>
      </w:pPr>
      <w:r w:rsidRPr="00A5006B">
        <w:rPr>
          <w:rFonts w:ascii="Barlow" w:hAnsi="Barlow"/>
        </w:rPr>
        <w:t>Capacités à animer des réunions</w:t>
      </w:r>
      <w:r w:rsidR="00B476DA" w:rsidRPr="00A5006B">
        <w:rPr>
          <w:rFonts w:ascii="Barlow" w:hAnsi="Barlow"/>
        </w:rPr>
        <w:t>, bonnes expressions orale et écrite</w:t>
      </w:r>
    </w:p>
    <w:p w:rsidR="00DF4330" w:rsidRPr="00A5006B" w:rsidRDefault="00036CEA" w:rsidP="00DF4330">
      <w:pPr>
        <w:pStyle w:val="Paragraphedeliste"/>
        <w:numPr>
          <w:ilvl w:val="0"/>
          <w:numId w:val="4"/>
        </w:numPr>
        <w:spacing w:after="0"/>
        <w:rPr>
          <w:rFonts w:ascii="Barlow" w:hAnsi="Barlow"/>
        </w:rPr>
      </w:pPr>
      <w:r w:rsidRPr="00A5006B">
        <w:rPr>
          <w:rFonts w:ascii="Barlow" w:hAnsi="Barlow"/>
        </w:rPr>
        <w:t>Permis B obligatoire</w:t>
      </w:r>
    </w:p>
    <w:p w:rsidR="00A5006B" w:rsidRDefault="00A5006B" w:rsidP="00DF4330">
      <w:pPr>
        <w:pStyle w:val="Paragraphedeliste"/>
        <w:tabs>
          <w:tab w:val="left" w:pos="2865"/>
        </w:tabs>
        <w:jc w:val="center"/>
        <w:rPr>
          <w:rFonts w:ascii="Barlow" w:hAnsi="Barlow"/>
          <w:b/>
          <w:color w:val="FF0000"/>
        </w:rPr>
      </w:pPr>
    </w:p>
    <w:p w:rsidR="00B476DA" w:rsidRDefault="00A5006B" w:rsidP="00DF4330">
      <w:pPr>
        <w:pStyle w:val="Paragraphedeliste"/>
        <w:tabs>
          <w:tab w:val="left" w:pos="2865"/>
        </w:tabs>
        <w:jc w:val="center"/>
        <w:rPr>
          <w:rFonts w:cstheme="minorHAnsi"/>
          <w:b/>
          <w:bCs/>
        </w:rPr>
      </w:pPr>
      <w:r w:rsidRPr="00A5006B">
        <w:rPr>
          <w:rFonts w:ascii="Barlow" w:hAnsi="Barlow"/>
          <w:b/>
          <w:color w:val="FF0000"/>
        </w:rPr>
        <w:t>Poste basé à Rozay-en-Brie</w:t>
      </w:r>
      <w:r>
        <w:rPr>
          <w:rFonts w:ascii="Barlow" w:hAnsi="Barlow"/>
          <w:b/>
          <w:color w:val="FF0000"/>
        </w:rPr>
        <w:t xml:space="preserve"> (77)</w:t>
      </w:r>
    </w:p>
    <w:p w:rsidR="00DF4330" w:rsidRPr="00BE38E7" w:rsidRDefault="00DF4330" w:rsidP="00DF4330">
      <w:pPr>
        <w:pStyle w:val="Paragraphedeliste"/>
        <w:tabs>
          <w:tab w:val="left" w:pos="2865"/>
        </w:tabs>
        <w:jc w:val="center"/>
        <w:rPr>
          <w:rFonts w:cstheme="minorHAnsi"/>
          <w:b/>
          <w:bCs/>
        </w:rPr>
      </w:pPr>
      <w:r w:rsidRPr="00BE38E7">
        <w:rPr>
          <w:rFonts w:cstheme="minorHAnsi"/>
          <w:b/>
          <w:bCs/>
        </w:rPr>
        <w:t>Rémunération statutaire + Régime Indemnitaire + CNAS + chèque déjeuner</w:t>
      </w:r>
    </w:p>
    <w:p w:rsidR="00DF4330" w:rsidRPr="00BE38E7" w:rsidRDefault="00DF4330" w:rsidP="00DF4330">
      <w:pPr>
        <w:pStyle w:val="Paragraphedeliste"/>
        <w:tabs>
          <w:tab w:val="left" w:pos="2865"/>
        </w:tabs>
        <w:jc w:val="center"/>
        <w:rPr>
          <w:rFonts w:cstheme="minorHAnsi"/>
          <w:b/>
          <w:bCs/>
          <w:u w:val="single"/>
        </w:rPr>
      </w:pPr>
      <w:r w:rsidRPr="00BE38E7">
        <w:rPr>
          <w:rFonts w:cstheme="minorHAnsi"/>
          <w:b/>
          <w:bCs/>
          <w:u w:val="single"/>
        </w:rPr>
        <w:t>Post</w:t>
      </w:r>
      <w:r w:rsidR="008747CC" w:rsidRPr="00BE38E7">
        <w:rPr>
          <w:rFonts w:cstheme="minorHAnsi"/>
          <w:b/>
          <w:bCs/>
          <w:u w:val="single"/>
        </w:rPr>
        <w:t xml:space="preserve">e à pourvoir </w:t>
      </w:r>
      <w:r w:rsidR="00D27444">
        <w:rPr>
          <w:rFonts w:cstheme="minorHAnsi"/>
          <w:b/>
          <w:bCs/>
          <w:u w:val="single"/>
        </w:rPr>
        <w:t>dès que possible</w:t>
      </w:r>
      <w:r w:rsidR="007C6CAC" w:rsidRPr="00BE38E7">
        <w:rPr>
          <w:rFonts w:cstheme="minorHAnsi"/>
          <w:b/>
          <w:bCs/>
          <w:u w:val="single"/>
        </w:rPr>
        <w:t xml:space="preserve"> </w:t>
      </w:r>
    </w:p>
    <w:p w:rsidR="00DF4330" w:rsidRPr="00BE38E7" w:rsidRDefault="00DF4330" w:rsidP="00DF4330">
      <w:pPr>
        <w:pStyle w:val="Paragraphedeliste"/>
        <w:ind w:right="-569"/>
        <w:jc w:val="center"/>
        <w:rPr>
          <w:rFonts w:cstheme="minorHAnsi"/>
        </w:rPr>
      </w:pPr>
      <w:r w:rsidRPr="00BE38E7">
        <w:rPr>
          <w:rFonts w:cstheme="minorHAnsi"/>
        </w:rPr>
        <w:t>Lettre de motivation + CV + photo à adresser par courrier à</w:t>
      </w:r>
    </w:p>
    <w:p w:rsidR="00DF4330" w:rsidRPr="00BE38E7" w:rsidRDefault="00DF4330" w:rsidP="00DF4330">
      <w:pPr>
        <w:pStyle w:val="Paragraphedeliste"/>
        <w:ind w:right="-569"/>
        <w:jc w:val="center"/>
        <w:rPr>
          <w:rFonts w:cstheme="minorHAnsi"/>
        </w:rPr>
      </w:pPr>
      <w:r w:rsidRPr="00BE38E7">
        <w:rPr>
          <w:rFonts w:cstheme="minorHAnsi"/>
        </w:rPr>
        <w:t>Monsieur le Président 17, rue</w:t>
      </w:r>
      <w:r w:rsidR="00FE28B5" w:rsidRPr="00BE38E7">
        <w:rPr>
          <w:rFonts w:cstheme="minorHAnsi"/>
        </w:rPr>
        <w:t xml:space="preserve"> Gusta</w:t>
      </w:r>
      <w:r w:rsidR="00005914" w:rsidRPr="00BE38E7">
        <w:rPr>
          <w:rFonts w:cstheme="minorHAnsi"/>
        </w:rPr>
        <w:t>v</w:t>
      </w:r>
      <w:r w:rsidR="00FE28B5" w:rsidRPr="00BE38E7">
        <w:rPr>
          <w:rFonts w:cstheme="minorHAnsi"/>
        </w:rPr>
        <w:t>e</w:t>
      </w:r>
      <w:r w:rsidRPr="00BE38E7">
        <w:rPr>
          <w:rFonts w:cstheme="minorHAnsi"/>
        </w:rPr>
        <w:t xml:space="preserve"> Eiffel  – 91230 MONTGERON</w:t>
      </w:r>
    </w:p>
    <w:p w:rsidR="00DF4330" w:rsidRDefault="00DF4330" w:rsidP="00DF4330">
      <w:pPr>
        <w:pStyle w:val="Paragraphedeliste"/>
        <w:tabs>
          <w:tab w:val="left" w:pos="2865"/>
        </w:tabs>
        <w:jc w:val="center"/>
        <w:rPr>
          <w:rFonts w:cstheme="minorHAnsi"/>
        </w:rPr>
      </w:pPr>
      <w:r w:rsidRPr="00BE38E7">
        <w:rPr>
          <w:rFonts w:cstheme="minorHAnsi"/>
        </w:rPr>
        <w:t xml:space="preserve">ou par mail à </w:t>
      </w:r>
      <w:r w:rsidR="00D27444">
        <w:rPr>
          <w:rFonts w:cstheme="minorHAnsi"/>
        </w:rPr>
        <w:t>syage@dotelec.online</w:t>
      </w:r>
    </w:p>
    <w:p w:rsidR="00121C79" w:rsidRDefault="00121C79" w:rsidP="00DF4330">
      <w:pPr>
        <w:pStyle w:val="Paragraphedeliste"/>
        <w:tabs>
          <w:tab w:val="left" w:pos="2865"/>
        </w:tabs>
        <w:jc w:val="center"/>
        <w:rPr>
          <w:rFonts w:cstheme="minorHAnsi"/>
        </w:rPr>
      </w:pPr>
    </w:p>
    <w:sectPr w:rsidR="00121C79" w:rsidSect="00D811BA">
      <w:pgSz w:w="11906" w:h="16838"/>
      <w:pgMar w:top="907"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B3" w:rsidRDefault="00B44FB3" w:rsidP="006D05AF">
      <w:pPr>
        <w:spacing w:after="0" w:line="240" w:lineRule="auto"/>
      </w:pPr>
      <w:r>
        <w:separator/>
      </w:r>
    </w:p>
  </w:endnote>
  <w:endnote w:type="continuationSeparator" w:id="0">
    <w:p w:rsidR="00B44FB3" w:rsidRDefault="00B44FB3" w:rsidP="006D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B3" w:rsidRDefault="00B44FB3" w:rsidP="006D05AF">
      <w:pPr>
        <w:spacing w:after="0" w:line="240" w:lineRule="auto"/>
      </w:pPr>
      <w:r>
        <w:separator/>
      </w:r>
    </w:p>
  </w:footnote>
  <w:footnote w:type="continuationSeparator" w:id="0">
    <w:p w:rsidR="00B44FB3" w:rsidRDefault="00B44FB3" w:rsidP="006D0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BDF"/>
    <w:multiLevelType w:val="hybridMultilevel"/>
    <w:tmpl w:val="952AE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B52D14"/>
    <w:multiLevelType w:val="hybridMultilevel"/>
    <w:tmpl w:val="CDD2AADA"/>
    <w:lvl w:ilvl="0" w:tplc="A2A2C8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1C5986"/>
    <w:multiLevelType w:val="hybridMultilevel"/>
    <w:tmpl w:val="1E5402B2"/>
    <w:lvl w:ilvl="0" w:tplc="FF62F6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D80AED"/>
    <w:multiLevelType w:val="hybridMultilevel"/>
    <w:tmpl w:val="8EA864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AA"/>
    <w:rsid w:val="00005914"/>
    <w:rsid w:val="00013DC7"/>
    <w:rsid w:val="00034D27"/>
    <w:rsid w:val="00036CEA"/>
    <w:rsid w:val="00066A4C"/>
    <w:rsid w:val="000838F5"/>
    <w:rsid w:val="0009699B"/>
    <w:rsid w:val="00097819"/>
    <w:rsid w:val="00121C79"/>
    <w:rsid w:val="0015218B"/>
    <w:rsid w:val="0016793B"/>
    <w:rsid w:val="001745B8"/>
    <w:rsid w:val="001D725C"/>
    <w:rsid w:val="00251F40"/>
    <w:rsid w:val="002544B2"/>
    <w:rsid w:val="00286B41"/>
    <w:rsid w:val="002C59A6"/>
    <w:rsid w:val="002E443F"/>
    <w:rsid w:val="00317D20"/>
    <w:rsid w:val="003237E9"/>
    <w:rsid w:val="00361EE0"/>
    <w:rsid w:val="00364400"/>
    <w:rsid w:val="00396073"/>
    <w:rsid w:val="0042691D"/>
    <w:rsid w:val="004A3011"/>
    <w:rsid w:val="004B20DF"/>
    <w:rsid w:val="005129AA"/>
    <w:rsid w:val="00535055"/>
    <w:rsid w:val="0054615A"/>
    <w:rsid w:val="00585D70"/>
    <w:rsid w:val="005F23BB"/>
    <w:rsid w:val="005F63CA"/>
    <w:rsid w:val="00602742"/>
    <w:rsid w:val="006168A9"/>
    <w:rsid w:val="0062415B"/>
    <w:rsid w:val="00660055"/>
    <w:rsid w:val="00677F61"/>
    <w:rsid w:val="00697304"/>
    <w:rsid w:val="006D05AF"/>
    <w:rsid w:val="00750B1A"/>
    <w:rsid w:val="007A770A"/>
    <w:rsid w:val="007C6CAC"/>
    <w:rsid w:val="00803AF9"/>
    <w:rsid w:val="00853694"/>
    <w:rsid w:val="008627AE"/>
    <w:rsid w:val="00864344"/>
    <w:rsid w:val="008747CC"/>
    <w:rsid w:val="008E14D7"/>
    <w:rsid w:val="0090056E"/>
    <w:rsid w:val="009A1045"/>
    <w:rsid w:val="009A31E5"/>
    <w:rsid w:val="009C38F3"/>
    <w:rsid w:val="009C4DBB"/>
    <w:rsid w:val="009F263B"/>
    <w:rsid w:val="00A5006B"/>
    <w:rsid w:val="00A52EE5"/>
    <w:rsid w:val="00A57F78"/>
    <w:rsid w:val="00AE151D"/>
    <w:rsid w:val="00B02816"/>
    <w:rsid w:val="00B44FB3"/>
    <w:rsid w:val="00B476DA"/>
    <w:rsid w:val="00B53E2B"/>
    <w:rsid w:val="00BC5D37"/>
    <w:rsid w:val="00BE38E7"/>
    <w:rsid w:val="00C77B0A"/>
    <w:rsid w:val="00CA39FB"/>
    <w:rsid w:val="00D27444"/>
    <w:rsid w:val="00D31532"/>
    <w:rsid w:val="00D440B0"/>
    <w:rsid w:val="00D5565F"/>
    <w:rsid w:val="00D811BA"/>
    <w:rsid w:val="00DB21FC"/>
    <w:rsid w:val="00DD5E41"/>
    <w:rsid w:val="00DF4330"/>
    <w:rsid w:val="00E03885"/>
    <w:rsid w:val="00E8675B"/>
    <w:rsid w:val="00E977BF"/>
    <w:rsid w:val="00EE6C7E"/>
    <w:rsid w:val="00F72AA5"/>
    <w:rsid w:val="00F96721"/>
    <w:rsid w:val="00FD2F0D"/>
    <w:rsid w:val="00FE28B5"/>
    <w:rsid w:val="00FF2B46"/>
    <w:rsid w:val="00FF6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17AE"/>
  <w15:docId w15:val="{84343CE6-71AF-4266-BC1A-98307698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7E9"/>
    <w:pPr>
      <w:ind w:left="720"/>
      <w:contextualSpacing/>
    </w:pPr>
  </w:style>
  <w:style w:type="paragraph" w:styleId="Textedebulles">
    <w:name w:val="Balloon Text"/>
    <w:basedOn w:val="Normal"/>
    <w:link w:val="TextedebullesCar"/>
    <w:uiPriority w:val="99"/>
    <w:semiHidden/>
    <w:unhideWhenUsed/>
    <w:rsid w:val="00DF43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330"/>
    <w:rPr>
      <w:rFonts w:ascii="Tahoma" w:hAnsi="Tahoma" w:cs="Tahoma"/>
      <w:sz w:val="16"/>
      <w:szCs w:val="16"/>
    </w:rPr>
  </w:style>
  <w:style w:type="paragraph" w:customStyle="1" w:styleId="CarCar2CarCarCarCharCarCarCharCharCharCharCharCharCharCharCharCharCharCharCharCarCar">
    <w:name w:val="Car Car2 Car Car Car Char Car Car Char Char Char Char Char Char Char Char Char Char Char Char Char Car Car"/>
    <w:basedOn w:val="Normal"/>
    <w:rsid w:val="00DF4330"/>
    <w:pPr>
      <w:spacing w:after="160" w:line="240" w:lineRule="exact"/>
    </w:pPr>
    <w:rPr>
      <w:rFonts w:ascii="Arial" w:eastAsia="Times New Roman" w:hAnsi="Arial" w:cs="Times New Roman"/>
      <w:color w:val="333333"/>
      <w:sz w:val="20"/>
      <w:szCs w:val="24"/>
      <w:lang w:val="en-US"/>
    </w:rPr>
  </w:style>
  <w:style w:type="paragraph" w:styleId="En-tte">
    <w:name w:val="header"/>
    <w:basedOn w:val="Normal"/>
    <w:link w:val="En-tteCar"/>
    <w:uiPriority w:val="99"/>
    <w:unhideWhenUsed/>
    <w:rsid w:val="006D05AF"/>
    <w:pPr>
      <w:tabs>
        <w:tab w:val="center" w:pos="4536"/>
        <w:tab w:val="right" w:pos="9072"/>
      </w:tabs>
      <w:spacing w:after="0" w:line="240" w:lineRule="auto"/>
    </w:pPr>
  </w:style>
  <w:style w:type="character" w:customStyle="1" w:styleId="En-tteCar">
    <w:name w:val="En-tête Car"/>
    <w:basedOn w:val="Policepardfaut"/>
    <w:link w:val="En-tte"/>
    <w:uiPriority w:val="99"/>
    <w:rsid w:val="006D05AF"/>
  </w:style>
  <w:style w:type="paragraph" w:styleId="Pieddepage">
    <w:name w:val="footer"/>
    <w:basedOn w:val="Normal"/>
    <w:link w:val="PieddepageCar"/>
    <w:uiPriority w:val="99"/>
    <w:unhideWhenUsed/>
    <w:rsid w:val="006D0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5AF"/>
  </w:style>
  <w:style w:type="paragraph" w:styleId="Rvision">
    <w:name w:val="Revision"/>
    <w:hidden/>
    <w:uiPriority w:val="99"/>
    <w:semiHidden/>
    <w:rsid w:val="00EE6C7E"/>
    <w:pPr>
      <w:spacing w:after="0" w:line="240" w:lineRule="auto"/>
    </w:pPr>
  </w:style>
  <w:style w:type="character" w:styleId="Lienhypertexte">
    <w:name w:val="Hyperlink"/>
    <w:basedOn w:val="Policepardfaut"/>
    <w:uiPriority w:val="99"/>
    <w:unhideWhenUsed/>
    <w:rsid w:val="00121C79"/>
    <w:rPr>
      <w:color w:val="0000FF" w:themeColor="hyperlink"/>
      <w:u w:val="single"/>
    </w:rPr>
  </w:style>
  <w:style w:type="character" w:styleId="lev">
    <w:name w:val="Strong"/>
    <w:basedOn w:val="Policepardfaut"/>
    <w:uiPriority w:val="22"/>
    <w:qFormat/>
    <w:rsid w:val="009A1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CFD6-32C3-4FAC-AEF3-0A6D9892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640</Words>
  <Characters>3523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Gangloff Christine</dc:creator>
  <cp:lastModifiedBy>Gangloff Christine</cp:lastModifiedBy>
  <cp:revision>3</cp:revision>
  <cp:lastPrinted>2022-09-01T13:05:00Z</cp:lastPrinted>
  <dcterms:created xsi:type="dcterms:W3CDTF">2023-12-19T11:18:00Z</dcterms:created>
  <dcterms:modified xsi:type="dcterms:W3CDTF">2023-12-22T10:38:00Z</dcterms:modified>
</cp:coreProperties>
</file>