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4E0" w:rsidRDefault="00A444E0" w:rsidP="00F875EA">
      <w:pPr>
        <w:spacing w:after="120" w:line="360" w:lineRule="auto"/>
        <w:jc w:val="center"/>
        <w:rPr>
          <w:rFonts w:ascii="Arial" w:eastAsia="Arial" w:hAnsi="Arial"/>
          <w:b/>
          <w:i/>
          <w:sz w:val="28"/>
          <w:szCs w:val="28"/>
        </w:rPr>
      </w:pPr>
    </w:p>
    <w:p w:rsidR="00A444E0" w:rsidRDefault="00536D60" w:rsidP="00F875EA">
      <w:pPr>
        <w:spacing w:after="120" w:line="360" w:lineRule="auto"/>
        <w:jc w:val="center"/>
        <w:rPr>
          <w:rFonts w:ascii="Arial" w:eastAsia="Arial" w:hAnsi="Arial"/>
          <w:b/>
          <w:i/>
          <w:sz w:val="28"/>
          <w:szCs w:val="28"/>
        </w:rPr>
      </w:pPr>
      <w:r>
        <w:rPr>
          <w:rFonts w:ascii="Arial" w:eastAsia="Arial" w:hAnsi="Arial"/>
          <w:b/>
          <w:i/>
          <w:sz w:val="28"/>
          <w:szCs w:val="28"/>
        </w:rPr>
        <w:t>Campagne 2025/2026</w:t>
      </w:r>
    </w:p>
    <w:p w:rsidR="007F7570" w:rsidRDefault="007F7570" w:rsidP="00A444E0">
      <w:pPr>
        <w:tabs>
          <w:tab w:val="left" w:pos="1985"/>
        </w:tabs>
        <w:jc w:val="center"/>
        <w:rPr>
          <w:rFonts w:cs="Arial"/>
          <w:b/>
          <w:sz w:val="22"/>
          <w:szCs w:val="22"/>
        </w:rPr>
      </w:pPr>
    </w:p>
    <w:p w:rsidR="00106CFE" w:rsidRDefault="00106CFE" w:rsidP="00A444E0">
      <w:pPr>
        <w:tabs>
          <w:tab w:val="left" w:pos="1985"/>
        </w:tabs>
        <w:jc w:val="center"/>
        <w:rPr>
          <w:rFonts w:cs="Arial"/>
          <w:b/>
          <w:sz w:val="22"/>
          <w:szCs w:val="22"/>
        </w:rPr>
      </w:pPr>
    </w:p>
    <w:p w:rsidR="00106CFE" w:rsidRDefault="00106CFE" w:rsidP="00A444E0">
      <w:pPr>
        <w:tabs>
          <w:tab w:val="left" w:pos="1985"/>
        </w:tabs>
        <w:jc w:val="center"/>
        <w:rPr>
          <w:rFonts w:cs="Arial"/>
          <w:b/>
          <w:sz w:val="22"/>
          <w:szCs w:val="22"/>
        </w:rPr>
      </w:pPr>
    </w:p>
    <w:p w:rsidR="00106CFE" w:rsidRPr="00B84CFE" w:rsidRDefault="00C4520A" w:rsidP="006170EB">
      <w:pPr>
        <w:tabs>
          <w:tab w:val="left" w:pos="1985"/>
        </w:tabs>
        <w:jc w:val="center"/>
        <w:rPr>
          <w:rFonts w:ascii="Arial" w:hAnsi="Arial" w:cs="Arial"/>
          <w:b/>
          <w:sz w:val="44"/>
          <w:szCs w:val="44"/>
        </w:rPr>
      </w:pPr>
      <w:r>
        <w:rPr>
          <w:rFonts w:ascii="Arial" w:hAnsi="Arial" w:cs="Arial"/>
          <w:b/>
          <w:sz w:val="44"/>
          <w:szCs w:val="44"/>
        </w:rPr>
        <w:t>Recherche apprenti</w:t>
      </w:r>
    </w:p>
    <w:p w:rsidR="00106CFE" w:rsidRPr="00B84CFE" w:rsidRDefault="00106CFE" w:rsidP="00A444E0">
      <w:pPr>
        <w:tabs>
          <w:tab w:val="left" w:pos="1985"/>
        </w:tabs>
        <w:jc w:val="center"/>
        <w:rPr>
          <w:rFonts w:ascii="Arial" w:hAnsi="Arial" w:cs="Arial"/>
          <w:b/>
          <w:sz w:val="22"/>
          <w:szCs w:val="22"/>
        </w:rPr>
      </w:pPr>
    </w:p>
    <w:p w:rsidR="00B84CFE" w:rsidRDefault="00B84CFE" w:rsidP="00B84CFE">
      <w:pPr>
        <w:spacing w:line="360" w:lineRule="auto"/>
        <w:jc w:val="center"/>
        <w:rPr>
          <w:rFonts w:ascii="Arial" w:hAnsi="Arial" w:cs="Arial"/>
          <w:b/>
          <w:sz w:val="16"/>
          <w:szCs w:val="16"/>
        </w:rPr>
      </w:pPr>
    </w:p>
    <w:p w:rsidR="00C4520A" w:rsidRPr="00A74A1C" w:rsidRDefault="00C4520A" w:rsidP="00B84CFE">
      <w:pPr>
        <w:spacing w:line="360" w:lineRule="auto"/>
        <w:jc w:val="center"/>
        <w:rPr>
          <w:rFonts w:ascii="Arial" w:hAnsi="Arial" w:cs="Arial"/>
          <w:b/>
          <w:sz w:val="16"/>
          <w:szCs w:val="16"/>
        </w:rPr>
      </w:pPr>
    </w:p>
    <w:p w:rsidR="00C4520A" w:rsidRPr="00A74A1C" w:rsidRDefault="00C4520A" w:rsidP="00B84CFE">
      <w:pPr>
        <w:spacing w:line="360" w:lineRule="auto"/>
        <w:jc w:val="center"/>
        <w:rPr>
          <w:rFonts w:ascii="Arial" w:hAnsi="Arial" w:cs="Arial"/>
          <w:b/>
          <w:sz w:val="16"/>
          <w:szCs w:val="16"/>
        </w:rPr>
      </w:pPr>
    </w:p>
    <w:p w:rsidR="00C4520A" w:rsidRPr="00A74A1C" w:rsidRDefault="00C4520A" w:rsidP="00C4520A">
      <w:pPr>
        <w:jc w:val="both"/>
        <w:rPr>
          <w:rFonts w:ascii="Arial" w:eastAsia="Arial" w:hAnsi="Arial" w:cs="Arial"/>
          <w:b/>
          <w:sz w:val="20"/>
          <w:szCs w:val="20"/>
        </w:rPr>
      </w:pPr>
      <w:r w:rsidRPr="00A74A1C">
        <w:rPr>
          <w:rFonts w:ascii="Arial" w:eastAsia="Arial" w:hAnsi="Arial" w:cs="Arial"/>
          <w:b/>
          <w:sz w:val="20"/>
          <w:szCs w:val="20"/>
        </w:rPr>
        <w:t xml:space="preserve">Description des missions principales (intitulé de poste si possible : </w:t>
      </w:r>
      <w:r w:rsidR="00DF1DE0">
        <w:rPr>
          <w:rFonts w:ascii="Arial" w:eastAsia="Arial" w:hAnsi="Arial" w:cs="Arial"/>
          <w:b/>
          <w:sz w:val="20"/>
          <w:szCs w:val="20"/>
        </w:rPr>
        <w:t>Chargé d’études</w:t>
      </w:r>
      <w:r w:rsidR="00907B80" w:rsidRPr="00A74A1C">
        <w:rPr>
          <w:rFonts w:ascii="Arial" w:eastAsia="Arial" w:hAnsi="Arial" w:cs="Arial"/>
          <w:b/>
          <w:sz w:val="20"/>
          <w:szCs w:val="20"/>
        </w:rPr>
        <w:t xml:space="preserve"> gestion intégrée et durable des eaux pluviales</w:t>
      </w:r>
    </w:p>
    <w:p w:rsidR="00C4520A" w:rsidRPr="00A74A1C" w:rsidRDefault="00C4520A" w:rsidP="00C4520A">
      <w:pPr>
        <w:jc w:val="both"/>
        <w:rPr>
          <w:rFonts w:ascii="Arial" w:eastAsia="Arial" w:hAnsi="Arial" w:cs="Arial"/>
          <w:sz w:val="20"/>
          <w:szCs w:val="20"/>
        </w:rPr>
      </w:pPr>
    </w:p>
    <w:p w:rsidR="00CA2252" w:rsidRDefault="005433B4" w:rsidP="00C4520A">
      <w:pPr>
        <w:jc w:val="both"/>
        <w:rPr>
          <w:rFonts w:ascii="Arial" w:eastAsia="Arial" w:hAnsi="Arial" w:cs="Arial"/>
          <w:sz w:val="20"/>
          <w:szCs w:val="20"/>
        </w:rPr>
      </w:pPr>
      <w:r w:rsidRPr="00A74A1C">
        <w:rPr>
          <w:rFonts w:ascii="Arial" w:eastAsia="Arial" w:hAnsi="Arial" w:cs="Arial"/>
          <w:sz w:val="20"/>
          <w:szCs w:val="20"/>
        </w:rPr>
        <w:t>Le Grand Chalon a adopté le 5 mars 2024 un zonage des eaux</w:t>
      </w:r>
      <w:r w:rsidR="00CA2252" w:rsidRPr="00A74A1C">
        <w:rPr>
          <w:rFonts w:ascii="Arial" w:eastAsia="Arial" w:hAnsi="Arial" w:cs="Arial"/>
          <w:sz w:val="20"/>
          <w:szCs w:val="20"/>
        </w:rPr>
        <w:t xml:space="preserve"> pluviales. C</w:t>
      </w:r>
      <w:r w:rsidR="002F2B19" w:rsidRPr="00A74A1C">
        <w:rPr>
          <w:rFonts w:ascii="Arial" w:eastAsia="Arial" w:hAnsi="Arial" w:cs="Arial"/>
          <w:sz w:val="20"/>
          <w:szCs w:val="20"/>
        </w:rPr>
        <w:t>e</w:t>
      </w:r>
      <w:r w:rsidRPr="00A74A1C">
        <w:rPr>
          <w:rFonts w:ascii="Arial" w:eastAsia="Arial" w:hAnsi="Arial" w:cs="Arial"/>
          <w:sz w:val="20"/>
          <w:szCs w:val="20"/>
        </w:rPr>
        <w:t xml:space="preserve"> zonage a pour objectif de généraliser la gestion à la parcelle des eaux pluviales</w:t>
      </w:r>
      <w:r w:rsidR="00CA2252" w:rsidRPr="00A74A1C">
        <w:rPr>
          <w:rFonts w:ascii="Arial" w:eastAsia="Arial" w:hAnsi="Arial" w:cs="Arial"/>
          <w:sz w:val="20"/>
          <w:szCs w:val="20"/>
        </w:rPr>
        <w:t xml:space="preserve"> en favorisant </w:t>
      </w:r>
      <w:r w:rsidR="001B7268">
        <w:rPr>
          <w:rFonts w:ascii="Arial" w:eastAsia="Arial" w:hAnsi="Arial" w:cs="Arial"/>
          <w:sz w:val="20"/>
          <w:szCs w:val="20"/>
        </w:rPr>
        <w:t xml:space="preserve">la gestion intégrée des eaux pluviales et </w:t>
      </w:r>
      <w:r w:rsidR="00CA2252" w:rsidRPr="00A74A1C">
        <w:rPr>
          <w:rFonts w:ascii="Arial" w:eastAsia="Arial" w:hAnsi="Arial" w:cs="Arial"/>
          <w:sz w:val="20"/>
          <w:szCs w:val="20"/>
        </w:rPr>
        <w:t>les solutions fondées sur la nature</w:t>
      </w:r>
      <w:r w:rsidR="002F2B19" w:rsidRPr="00A74A1C">
        <w:rPr>
          <w:rFonts w:ascii="Arial" w:eastAsia="Arial" w:hAnsi="Arial" w:cs="Arial"/>
          <w:sz w:val="20"/>
          <w:szCs w:val="20"/>
        </w:rPr>
        <w:t xml:space="preserve">. Il s’inscrit dans une démarche plus générale d’accompagnement du territoire au changement climatique. </w:t>
      </w:r>
    </w:p>
    <w:p w:rsidR="001B7268" w:rsidRDefault="001B7268" w:rsidP="00C4520A">
      <w:pPr>
        <w:jc w:val="both"/>
        <w:rPr>
          <w:rFonts w:ascii="Arial" w:eastAsia="Arial" w:hAnsi="Arial" w:cs="Arial"/>
          <w:sz w:val="20"/>
          <w:szCs w:val="20"/>
        </w:rPr>
      </w:pPr>
    </w:p>
    <w:p w:rsidR="001B7268" w:rsidRPr="00A74A1C" w:rsidRDefault="001B7268" w:rsidP="00C4520A">
      <w:pPr>
        <w:jc w:val="both"/>
        <w:rPr>
          <w:rFonts w:ascii="Arial" w:eastAsia="Arial" w:hAnsi="Arial" w:cs="Arial"/>
          <w:sz w:val="20"/>
          <w:szCs w:val="20"/>
        </w:rPr>
      </w:pPr>
      <w:r w:rsidRPr="001B7268">
        <w:rPr>
          <w:rFonts w:ascii="Arial" w:eastAsia="Arial" w:hAnsi="Arial" w:cs="Arial"/>
          <w:sz w:val="20"/>
          <w:szCs w:val="20"/>
        </w:rPr>
        <w:t>Sou</w:t>
      </w:r>
      <w:r w:rsidR="00910B38">
        <w:rPr>
          <w:rFonts w:ascii="Arial" w:eastAsia="Arial" w:hAnsi="Arial" w:cs="Arial"/>
          <w:sz w:val="20"/>
          <w:szCs w:val="20"/>
        </w:rPr>
        <w:t>s la responsabilité du chargé</w:t>
      </w:r>
      <w:r w:rsidRPr="001B7268">
        <w:rPr>
          <w:rFonts w:ascii="Arial" w:eastAsia="Arial" w:hAnsi="Arial" w:cs="Arial"/>
          <w:sz w:val="20"/>
          <w:szCs w:val="20"/>
        </w:rPr>
        <w:t xml:space="preserve"> de mission eaux pluviales au sein de la Direction de l’eau et de l’assainissement (DEA), l’objectif de l’apprenti(e) </w:t>
      </w:r>
      <w:r w:rsidR="00910B38">
        <w:rPr>
          <w:rFonts w:ascii="Arial" w:eastAsia="Arial" w:hAnsi="Arial" w:cs="Arial"/>
          <w:sz w:val="20"/>
          <w:szCs w:val="20"/>
        </w:rPr>
        <w:t xml:space="preserve">est </w:t>
      </w:r>
      <w:r w:rsidRPr="001B7268">
        <w:rPr>
          <w:rFonts w:ascii="Arial" w:eastAsia="Arial" w:hAnsi="Arial" w:cs="Arial"/>
          <w:sz w:val="20"/>
          <w:szCs w:val="20"/>
        </w:rPr>
        <w:t>d’accompagner le chargé de mission du Grand Chalon dans la mise en œuvre du zonage des eaux pluviales et la généralisation de la gestion intégrée des eaux pluviales dans les projets d’aménagement. Il(elle) devra élaborer des outils nécessaires à la prise en compte du zonage par les porteurs de projets ainsi que des outils d’évaluation de l’efficacité du zonage.</w:t>
      </w:r>
    </w:p>
    <w:p w:rsidR="00CA2252" w:rsidRPr="00A74A1C" w:rsidRDefault="00CA2252" w:rsidP="00C4520A">
      <w:pPr>
        <w:jc w:val="both"/>
        <w:rPr>
          <w:rFonts w:ascii="Arial" w:eastAsia="Arial" w:hAnsi="Arial" w:cs="Arial"/>
          <w:sz w:val="20"/>
          <w:szCs w:val="20"/>
        </w:rPr>
      </w:pPr>
    </w:p>
    <w:p w:rsidR="00970CA1" w:rsidRDefault="00970CA1" w:rsidP="00970CA1">
      <w:pPr>
        <w:ind w:left="567"/>
        <w:jc w:val="both"/>
        <w:rPr>
          <w:rFonts w:ascii="Calibri" w:hAnsi="Calibri" w:cs="Calibri"/>
          <w:b/>
          <w:bCs/>
        </w:rPr>
      </w:pPr>
    </w:p>
    <w:p w:rsidR="00970CA1" w:rsidRPr="000460A2" w:rsidRDefault="00970CA1" w:rsidP="00970CA1">
      <w:pPr>
        <w:ind w:left="567"/>
        <w:jc w:val="both"/>
        <w:rPr>
          <w:rFonts w:ascii="Calibri" w:hAnsi="Calibri" w:cs="Calibri"/>
          <w:b/>
          <w:bCs/>
        </w:rPr>
      </w:pPr>
      <w:r w:rsidRPr="000460A2">
        <w:rPr>
          <w:rFonts w:ascii="Calibri" w:hAnsi="Calibri" w:cs="Calibri"/>
          <w:b/>
          <w:bCs/>
        </w:rPr>
        <w:t>D</w:t>
      </w:r>
      <w:r>
        <w:rPr>
          <w:rFonts w:ascii="Calibri" w:hAnsi="Calibri" w:cs="Calibri"/>
          <w:b/>
          <w:bCs/>
        </w:rPr>
        <w:t>EFINITION DU POSTE</w:t>
      </w:r>
      <w:r w:rsidRPr="000460A2">
        <w:rPr>
          <w:rFonts w:ascii="Calibri" w:hAnsi="Calibri" w:cs="Calibri"/>
          <w:b/>
          <w:bCs/>
          <w:sz w:val="20"/>
          <w:szCs w:val="20"/>
        </w:rPr>
        <w:t xml:space="preserve"> </w:t>
      </w:r>
    </w:p>
    <w:p w:rsidR="00970CA1" w:rsidRPr="0076778C" w:rsidRDefault="00970CA1" w:rsidP="00970CA1">
      <w:pPr>
        <w:jc w:val="both"/>
        <w:rPr>
          <w:rFonts w:ascii="Calibri" w:hAnsi="Calibri" w:cs="Calibri"/>
          <w:sz w:val="22"/>
          <w:szCs w:val="22"/>
        </w:rPr>
      </w:pPr>
    </w:p>
    <w:p w:rsidR="00970CA1" w:rsidRPr="00970CA1" w:rsidRDefault="00970CA1" w:rsidP="00970CA1">
      <w:pPr>
        <w:jc w:val="both"/>
        <w:rPr>
          <w:rFonts w:asciiTheme="minorHAnsi" w:eastAsia="Arial" w:hAnsiTheme="minorHAnsi" w:cstheme="minorHAnsi"/>
          <w:sz w:val="22"/>
          <w:szCs w:val="20"/>
        </w:rPr>
      </w:pPr>
      <w:r w:rsidRPr="00970CA1">
        <w:rPr>
          <w:rFonts w:asciiTheme="minorHAnsi" w:eastAsia="Arial" w:hAnsiTheme="minorHAnsi" w:cstheme="minorHAnsi"/>
          <w:sz w:val="22"/>
          <w:szCs w:val="20"/>
        </w:rPr>
        <w:t>La mission se décompose en 2 parties principales :</w:t>
      </w:r>
    </w:p>
    <w:p w:rsidR="00970CA1" w:rsidRPr="00970CA1" w:rsidRDefault="00970CA1" w:rsidP="00970CA1">
      <w:pPr>
        <w:jc w:val="both"/>
        <w:rPr>
          <w:rFonts w:asciiTheme="minorHAnsi" w:eastAsia="Arial" w:hAnsiTheme="minorHAnsi" w:cstheme="minorHAnsi"/>
          <w:sz w:val="22"/>
          <w:szCs w:val="20"/>
        </w:rPr>
      </w:pPr>
    </w:p>
    <w:p w:rsidR="00970CA1" w:rsidRPr="00970CA1" w:rsidRDefault="00970CA1" w:rsidP="00970CA1">
      <w:pPr>
        <w:numPr>
          <w:ilvl w:val="0"/>
          <w:numId w:val="16"/>
        </w:numPr>
        <w:contextualSpacing/>
        <w:jc w:val="both"/>
        <w:rPr>
          <w:rFonts w:asciiTheme="minorHAnsi" w:eastAsia="Arial" w:hAnsiTheme="minorHAnsi" w:cstheme="minorHAnsi"/>
          <w:sz w:val="22"/>
          <w:szCs w:val="20"/>
        </w:rPr>
      </w:pPr>
      <w:r w:rsidRPr="00970CA1">
        <w:rPr>
          <w:rFonts w:asciiTheme="minorHAnsi" w:eastAsia="Arial" w:hAnsiTheme="minorHAnsi" w:cstheme="minorHAnsi"/>
          <w:sz w:val="22"/>
          <w:szCs w:val="20"/>
        </w:rPr>
        <w:t>La participation à la mise en œuvre du zonage en accompagnant les porteurs de projets dans son application concrète :</w:t>
      </w:r>
    </w:p>
    <w:p w:rsidR="00970CA1" w:rsidRPr="00970CA1" w:rsidRDefault="00970CA1" w:rsidP="00970CA1">
      <w:pPr>
        <w:numPr>
          <w:ilvl w:val="0"/>
          <w:numId w:val="17"/>
        </w:numPr>
        <w:contextualSpacing/>
        <w:jc w:val="both"/>
        <w:rPr>
          <w:rFonts w:asciiTheme="minorHAnsi" w:eastAsia="Arial" w:hAnsiTheme="minorHAnsi" w:cstheme="minorHAnsi"/>
          <w:sz w:val="22"/>
          <w:szCs w:val="20"/>
        </w:rPr>
      </w:pPr>
      <w:r w:rsidRPr="00970CA1">
        <w:rPr>
          <w:rFonts w:asciiTheme="minorHAnsi" w:eastAsia="Arial" w:hAnsiTheme="minorHAnsi" w:cstheme="minorHAnsi"/>
          <w:sz w:val="22"/>
          <w:szCs w:val="20"/>
        </w:rPr>
        <w:t>Conseils auprès des porteurs de projets dans l’application du zonage des eaux pluviales, Contrôle des projets, recadrage technique et réglementaire – dimensionnement d’ouvrages</w:t>
      </w:r>
    </w:p>
    <w:p w:rsidR="00970CA1" w:rsidRPr="00970CA1" w:rsidRDefault="00970CA1" w:rsidP="00970CA1">
      <w:pPr>
        <w:numPr>
          <w:ilvl w:val="0"/>
          <w:numId w:val="17"/>
        </w:numPr>
        <w:contextualSpacing/>
        <w:jc w:val="both"/>
        <w:rPr>
          <w:rFonts w:asciiTheme="minorHAnsi" w:eastAsia="Arial" w:hAnsiTheme="minorHAnsi" w:cstheme="minorHAnsi"/>
          <w:sz w:val="22"/>
          <w:szCs w:val="20"/>
        </w:rPr>
      </w:pPr>
      <w:r w:rsidRPr="00970CA1">
        <w:rPr>
          <w:rFonts w:asciiTheme="minorHAnsi" w:eastAsia="Arial" w:hAnsiTheme="minorHAnsi" w:cstheme="minorHAnsi"/>
          <w:sz w:val="22"/>
          <w:szCs w:val="20"/>
        </w:rPr>
        <w:t>Développement de procédures méthodologiques ou informatiques pour rationaliser l’instruction du volet eaux pluviales des Permis de Construire et des Permis d’aménager (réaliser un retour d’expérience auprès d’autres collectivité)</w:t>
      </w:r>
    </w:p>
    <w:p w:rsidR="00970CA1" w:rsidRPr="00970CA1" w:rsidRDefault="00970CA1" w:rsidP="00970CA1">
      <w:pPr>
        <w:numPr>
          <w:ilvl w:val="0"/>
          <w:numId w:val="17"/>
        </w:numPr>
        <w:contextualSpacing/>
        <w:jc w:val="both"/>
        <w:rPr>
          <w:rFonts w:asciiTheme="minorHAnsi" w:eastAsia="Arial" w:hAnsiTheme="minorHAnsi" w:cstheme="minorHAnsi"/>
          <w:sz w:val="22"/>
          <w:szCs w:val="20"/>
        </w:rPr>
      </w:pPr>
      <w:r w:rsidRPr="00970CA1">
        <w:rPr>
          <w:rFonts w:asciiTheme="minorHAnsi" w:eastAsia="Arial" w:hAnsiTheme="minorHAnsi" w:cstheme="minorHAnsi"/>
          <w:sz w:val="22"/>
          <w:szCs w:val="20"/>
        </w:rPr>
        <w:t xml:space="preserve">Suivi et interprétation des points de mesures hydrologiques du Pôle Environnement (1 an de suivi – 7 points de mesures) </w:t>
      </w:r>
    </w:p>
    <w:p w:rsidR="00970CA1" w:rsidRPr="00970CA1" w:rsidRDefault="00970CA1" w:rsidP="00970CA1">
      <w:pPr>
        <w:jc w:val="both"/>
        <w:rPr>
          <w:rFonts w:asciiTheme="minorHAnsi" w:eastAsia="Arial" w:hAnsiTheme="minorHAnsi" w:cstheme="minorHAnsi"/>
          <w:sz w:val="22"/>
          <w:szCs w:val="20"/>
        </w:rPr>
      </w:pPr>
    </w:p>
    <w:p w:rsidR="00970CA1" w:rsidRPr="00970CA1" w:rsidRDefault="00970CA1" w:rsidP="00970CA1">
      <w:pPr>
        <w:jc w:val="both"/>
        <w:rPr>
          <w:rFonts w:asciiTheme="minorHAnsi" w:eastAsia="Arial" w:hAnsiTheme="minorHAnsi" w:cstheme="minorHAnsi"/>
          <w:sz w:val="22"/>
          <w:szCs w:val="20"/>
        </w:rPr>
      </w:pPr>
    </w:p>
    <w:p w:rsidR="00970CA1" w:rsidRPr="00970CA1" w:rsidRDefault="00970CA1" w:rsidP="00970CA1">
      <w:pPr>
        <w:numPr>
          <w:ilvl w:val="0"/>
          <w:numId w:val="16"/>
        </w:numPr>
        <w:contextualSpacing/>
        <w:jc w:val="both"/>
        <w:rPr>
          <w:rFonts w:asciiTheme="minorHAnsi" w:eastAsia="Arial" w:hAnsiTheme="minorHAnsi" w:cstheme="minorHAnsi"/>
          <w:sz w:val="22"/>
          <w:szCs w:val="20"/>
        </w:rPr>
      </w:pPr>
      <w:r w:rsidRPr="00970CA1">
        <w:rPr>
          <w:rFonts w:asciiTheme="minorHAnsi" w:eastAsia="Arial" w:hAnsiTheme="minorHAnsi" w:cstheme="minorHAnsi"/>
          <w:sz w:val="22"/>
          <w:szCs w:val="20"/>
        </w:rPr>
        <w:t>La mise en place d’un outil d’évaluation de l’efficacité du zonage pour déconnecter les eaux pluviales, lutter contre les inondations et garantir la conformité des réseaux d’assainissement au regard la DERU 2 :</w:t>
      </w:r>
    </w:p>
    <w:p w:rsidR="00970CA1" w:rsidRPr="00970CA1" w:rsidRDefault="00970CA1" w:rsidP="00970CA1">
      <w:pPr>
        <w:numPr>
          <w:ilvl w:val="0"/>
          <w:numId w:val="18"/>
        </w:numPr>
        <w:contextualSpacing/>
        <w:jc w:val="both"/>
        <w:rPr>
          <w:rFonts w:asciiTheme="minorHAnsi" w:eastAsia="Arial" w:hAnsiTheme="minorHAnsi" w:cstheme="minorHAnsi"/>
          <w:sz w:val="22"/>
          <w:szCs w:val="20"/>
        </w:rPr>
      </w:pPr>
      <w:r w:rsidRPr="00970CA1">
        <w:rPr>
          <w:rFonts w:asciiTheme="minorHAnsi" w:eastAsia="Arial" w:hAnsiTheme="minorHAnsi" w:cstheme="minorHAnsi"/>
          <w:sz w:val="22"/>
          <w:szCs w:val="20"/>
        </w:rPr>
        <w:t xml:space="preserve">Création d’une base SIG des ouvrages fondés sur la nature pour lutter contre les inondations </w:t>
      </w:r>
    </w:p>
    <w:p w:rsidR="00970CA1" w:rsidRPr="00970CA1" w:rsidRDefault="00970CA1" w:rsidP="00970CA1">
      <w:pPr>
        <w:numPr>
          <w:ilvl w:val="0"/>
          <w:numId w:val="18"/>
        </w:numPr>
        <w:contextualSpacing/>
        <w:jc w:val="both"/>
        <w:rPr>
          <w:rFonts w:asciiTheme="minorHAnsi" w:eastAsia="Arial" w:hAnsiTheme="minorHAnsi" w:cstheme="minorHAnsi"/>
          <w:sz w:val="22"/>
          <w:szCs w:val="20"/>
        </w:rPr>
      </w:pPr>
      <w:r w:rsidRPr="00970CA1">
        <w:rPr>
          <w:rFonts w:asciiTheme="minorHAnsi" w:eastAsia="Arial" w:hAnsiTheme="minorHAnsi" w:cstheme="minorHAnsi"/>
          <w:sz w:val="22"/>
          <w:szCs w:val="20"/>
        </w:rPr>
        <w:t>Création d’une base SIG des ouvrages de gestion des eaux pluviales (hors canalisations) issues des autorisations d’urbanisme et des projets de renouvellement urbain</w:t>
      </w:r>
    </w:p>
    <w:p w:rsidR="00970CA1" w:rsidRPr="00970CA1" w:rsidRDefault="00970CA1" w:rsidP="00970CA1">
      <w:pPr>
        <w:numPr>
          <w:ilvl w:val="0"/>
          <w:numId w:val="18"/>
        </w:numPr>
        <w:contextualSpacing/>
        <w:jc w:val="both"/>
        <w:rPr>
          <w:rFonts w:asciiTheme="minorHAnsi" w:eastAsia="Arial" w:hAnsiTheme="minorHAnsi" w:cstheme="minorHAnsi"/>
          <w:sz w:val="22"/>
          <w:szCs w:val="20"/>
        </w:rPr>
      </w:pPr>
      <w:r w:rsidRPr="00970CA1">
        <w:rPr>
          <w:rFonts w:asciiTheme="minorHAnsi" w:eastAsia="Arial" w:hAnsiTheme="minorHAnsi" w:cstheme="minorHAnsi"/>
          <w:sz w:val="22"/>
          <w:szCs w:val="20"/>
        </w:rPr>
        <w:t>Intégration de ces ouvrages dans la base de données nationale « construire sans détruire ». Elaboration de la méthodologie et indentification des acteurs pour atteindre l’objectif.</w:t>
      </w:r>
    </w:p>
    <w:p w:rsidR="00970CA1" w:rsidRPr="00970CA1" w:rsidRDefault="00970CA1" w:rsidP="00970CA1">
      <w:pPr>
        <w:numPr>
          <w:ilvl w:val="0"/>
          <w:numId w:val="18"/>
        </w:numPr>
        <w:contextualSpacing/>
        <w:jc w:val="both"/>
        <w:rPr>
          <w:rFonts w:asciiTheme="minorHAnsi" w:eastAsia="Arial" w:hAnsiTheme="minorHAnsi" w:cstheme="minorHAnsi"/>
          <w:sz w:val="22"/>
          <w:szCs w:val="20"/>
        </w:rPr>
      </w:pPr>
      <w:r w:rsidRPr="00970CA1">
        <w:rPr>
          <w:rFonts w:asciiTheme="minorHAnsi" w:eastAsia="Arial" w:hAnsiTheme="minorHAnsi" w:cstheme="minorHAnsi"/>
          <w:sz w:val="22"/>
          <w:szCs w:val="20"/>
        </w:rPr>
        <w:t>Détermination de l’impact de la politique de déconnexion des eaux pluviales du Grand Chalon sur le fonctionnement des réseaux unitaires et pluviaux du Grand Chalon – Création</w:t>
      </w:r>
      <w:r w:rsidR="00910B38">
        <w:rPr>
          <w:rFonts w:asciiTheme="minorHAnsi" w:eastAsia="Arial" w:hAnsiTheme="minorHAnsi" w:cstheme="minorHAnsi"/>
          <w:sz w:val="22"/>
          <w:szCs w:val="20"/>
        </w:rPr>
        <w:t xml:space="preserve"> d’un modèle hydraulique avec </w:t>
      </w:r>
      <w:r w:rsidRPr="00970CA1">
        <w:rPr>
          <w:rFonts w:asciiTheme="minorHAnsi" w:eastAsia="Arial" w:hAnsiTheme="minorHAnsi" w:cstheme="minorHAnsi"/>
          <w:sz w:val="22"/>
          <w:szCs w:val="20"/>
        </w:rPr>
        <w:t>SWIMM</w:t>
      </w:r>
      <w:r w:rsidR="00910B38">
        <w:rPr>
          <w:rFonts w:asciiTheme="minorHAnsi" w:eastAsia="Arial" w:hAnsiTheme="minorHAnsi" w:cstheme="minorHAnsi"/>
          <w:sz w:val="22"/>
          <w:szCs w:val="20"/>
        </w:rPr>
        <w:t>5</w:t>
      </w:r>
      <w:r w:rsidRPr="00970CA1">
        <w:rPr>
          <w:rFonts w:asciiTheme="minorHAnsi" w:eastAsia="Arial" w:hAnsiTheme="minorHAnsi" w:cstheme="minorHAnsi"/>
          <w:sz w:val="22"/>
          <w:szCs w:val="20"/>
        </w:rPr>
        <w:t>. Tests de scénarios de déconnexion</w:t>
      </w:r>
    </w:p>
    <w:p w:rsidR="00706FD6" w:rsidRPr="00970CA1" w:rsidRDefault="002A078F" w:rsidP="00970CA1">
      <w:pPr>
        <w:ind w:left="1080"/>
        <w:jc w:val="both"/>
        <w:rPr>
          <w:rFonts w:asciiTheme="minorHAnsi" w:eastAsia="Arial" w:hAnsiTheme="minorHAnsi" w:cstheme="minorHAnsi"/>
          <w:sz w:val="22"/>
          <w:szCs w:val="20"/>
        </w:rPr>
      </w:pPr>
    </w:p>
    <w:p w:rsidR="00706FD6" w:rsidRPr="00970CA1" w:rsidRDefault="00970CA1" w:rsidP="00970CA1">
      <w:pPr>
        <w:rPr>
          <w:rFonts w:asciiTheme="minorHAnsi" w:hAnsiTheme="minorHAnsi" w:cstheme="minorHAnsi"/>
          <w:b/>
          <w:bCs/>
          <w:sz w:val="22"/>
          <w:szCs w:val="22"/>
        </w:rPr>
      </w:pPr>
      <w:r w:rsidRPr="00970CA1">
        <w:rPr>
          <w:rFonts w:asciiTheme="minorHAnsi" w:hAnsiTheme="minorHAnsi" w:cstheme="minorHAnsi"/>
          <w:sz w:val="22"/>
          <w:szCs w:val="22"/>
        </w:rPr>
        <w:t>L’alternant pourra être amené à p</w:t>
      </w:r>
      <w:r w:rsidR="004B6CAB" w:rsidRPr="00970CA1">
        <w:rPr>
          <w:rFonts w:asciiTheme="minorHAnsi" w:hAnsiTheme="minorHAnsi" w:cstheme="minorHAnsi"/>
          <w:sz w:val="22"/>
          <w:szCs w:val="22"/>
        </w:rPr>
        <w:t>articiper à toute tâche ponctuelle relevant du bon fonctionnement de la Direction de l’Eau et de l’Assainissement.</w:t>
      </w:r>
    </w:p>
    <w:p w:rsidR="00C4520A" w:rsidRPr="00A74A1C" w:rsidRDefault="00C4520A" w:rsidP="00C4520A">
      <w:pPr>
        <w:jc w:val="both"/>
        <w:rPr>
          <w:rFonts w:ascii="Arial" w:eastAsia="Arial" w:hAnsi="Arial" w:cs="Arial"/>
          <w:b/>
          <w:sz w:val="20"/>
          <w:szCs w:val="20"/>
        </w:rPr>
      </w:pPr>
    </w:p>
    <w:p w:rsidR="00C4520A" w:rsidRDefault="00C4520A" w:rsidP="00C4520A">
      <w:pPr>
        <w:jc w:val="both"/>
        <w:rPr>
          <w:rFonts w:ascii="Arial" w:eastAsia="Arial" w:hAnsi="Arial" w:cs="Arial"/>
          <w:b/>
          <w:sz w:val="20"/>
          <w:szCs w:val="20"/>
        </w:rPr>
      </w:pPr>
    </w:p>
    <w:p w:rsidR="00996019" w:rsidRDefault="00996019" w:rsidP="00C4520A">
      <w:pPr>
        <w:jc w:val="both"/>
        <w:rPr>
          <w:rFonts w:ascii="Arial" w:eastAsia="Arial" w:hAnsi="Arial" w:cs="Arial"/>
          <w:b/>
          <w:sz w:val="20"/>
          <w:szCs w:val="20"/>
        </w:rPr>
      </w:pPr>
    </w:p>
    <w:p w:rsidR="00996019" w:rsidRPr="00A74A1C" w:rsidRDefault="00996019" w:rsidP="00C4520A">
      <w:pPr>
        <w:jc w:val="both"/>
        <w:rPr>
          <w:rFonts w:ascii="Arial" w:eastAsia="Arial" w:hAnsi="Arial" w:cs="Arial"/>
          <w:b/>
          <w:sz w:val="20"/>
          <w:szCs w:val="20"/>
        </w:rPr>
      </w:pPr>
    </w:p>
    <w:p w:rsidR="00C4520A" w:rsidRPr="00A74A1C" w:rsidRDefault="00C4520A" w:rsidP="00C4520A">
      <w:pPr>
        <w:jc w:val="both"/>
        <w:rPr>
          <w:rFonts w:ascii="Arial" w:eastAsia="Arial" w:hAnsi="Arial" w:cs="Arial"/>
          <w:b/>
          <w:sz w:val="20"/>
          <w:szCs w:val="20"/>
        </w:rPr>
      </w:pPr>
      <w:r w:rsidRPr="00A74A1C">
        <w:rPr>
          <w:rFonts w:ascii="Arial" w:eastAsia="Arial" w:hAnsi="Arial" w:cs="Arial"/>
          <w:b/>
          <w:sz w:val="20"/>
          <w:szCs w:val="20"/>
        </w:rPr>
        <w:t xml:space="preserve">Equipe/environnement : </w:t>
      </w:r>
    </w:p>
    <w:p w:rsidR="00832E16" w:rsidRPr="00A74A1C" w:rsidRDefault="00832E16" w:rsidP="00832E16">
      <w:pPr>
        <w:pStyle w:val="Paragraphedeliste"/>
        <w:numPr>
          <w:ilvl w:val="0"/>
          <w:numId w:val="14"/>
        </w:numPr>
        <w:jc w:val="both"/>
        <w:rPr>
          <w:rFonts w:ascii="Arial" w:eastAsia="Arial" w:hAnsi="Arial" w:cs="Arial"/>
          <w:sz w:val="20"/>
          <w:szCs w:val="20"/>
        </w:rPr>
      </w:pPr>
      <w:r w:rsidRPr="00A74A1C">
        <w:rPr>
          <w:rFonts w:ascii="Arial" w:eastAsia="Arial" w:hAnsi="Arial" w:cs="Arial"/>
          <w:sz w:val="20"/>
          <w:szCs w:val="20"/>
        </w:rPr>
        <w:t>Direction de l’Eau et de l’Assainissement – Encadrement Pierre-Olivier DUPEYRAT</w:t>
      </w:r>
      <w:r w:rsidR="006362A4" w:rsidRPr="00A74A1C">
        <w:rPr>
          <w:rFonts w:ascii="Arial" w:eastAsia="Arial" w:hAnsi="Arial" w:cs="Arial"/>
          <w:sz w:val="20"/>
          <w:szCs w:val="20"/>
        </w:rPr>
        <w:t xml:space="preserve">, Chargé de mission dans le domaine de la gestion alternative des eaux pluviales </w:t>
      </w:r>
    </w:p>
    <w:p w:rsidR="00B74D05" w:rsidRPr="00B74D05" w:rsidRDefault="00B74D05" w:rsidP="00B74D05">
      <w:pPr>
        <w:pStyle w:val="Paragraphedeliste"/>
        <w:numPr>
          <w:ilvl w:val="0"/>
          <w:numId w:val="14"/>
        </w:numPr>
        <w:rPr>
          <w:rFonts w:ascii="Arial" w:hAnsi="Arial" w:cs="Arial"/>
          <w:b/>
          <w:bCs/>
          <w:sz w:val="20"/>
          <w:szCs w:val="22"/>
        </w:rPr>
      </w:pPr>
      <w:r w:rsidRPr="00B74D05">
        <w:rPr>
          <w:rFonts w:ascii="Arial" w:hAnsi="Arial" w:cs="Arial"/>
          <w:b/>
          <w:bCs/>
          <w:sz w:val="20"/>
          <w:szCs w:val="22"/>
        </w:rPr>
        <w:t>Relations fonctionnelles internes :</w:t>
      </w:r>
    </w:p>
    <w:p w:rsidR="00B74D05" w:rsidRPr="00B74D05" w:rsidRDefault="00B74D05" w:rsidP="00B74D05">
      <w:pPr>
        <w:numPr>
          <w:ilvl w:val="0"/>
          <w:numId w:val="21"/>
        </w:numPr>
        <w:tabs>
          <w:tab w:val="clear" w:pos="720"/>
          <w:tab w:val="num" w:pos="1080"/>
        </w:tabs>
        <w:ind w:left="1080"/>
        <w:rPr>
          <w:rFonts w:ascii="Arial" w:hAnsi="Arial" w:cs="Arial"/>
          <w:bCs/>
          <w:sz w:val="20"/>
          <w:szCs w:val="22"/>
        </w:rPr>
      </w:pPr>
      <w:r w:rsidRPr="00B74D05">
        <w:rPr>
          <w:rFonts w:ascii="Arial" w:hAnsi="Arial" w:cs="Arial"/>
          <w:bCs/>
          <w:sz w:val="20"/>
          <w:szCs w:val="22"/>
        </w:rPr>
        <w:t>Agents de la DEA, Directrice, Chefs de service de la DEA</w:t>
      </w:r>
    </w:p>
    <w:p w:rsidR="00B74D05" w:rsidRPr="00B74D05" w:rsidRDefault="00B74D05" w:rsidP="00B74D05">
      <w:pPr>
        <w:pStyle w:val="Paragraphedeliste"/>
        <w:numPr>
          <w:ilvl w:val="0"/>
          <w:numId w:val="14"/>
        </w:numPr>
        <w:ind w:left="1080"/>
        <w:jc w:val="both"/>
        <w:rPr>
          <w:rFonts w:ascii="Arial" w:eastAsia="Arial" w:hAnsi="Arial" w:cs="Arial"/>
          <w:sz w:val="20"/>
          <w:szCs w:val="20"/>
        </w:rPr>
      </w:pPr>
      <w:r w:rsidRPr="00B74D05">
        <w:rPr>
          <w:rFonts w:ascii="Arial" w:hAnsi="Arial" w:cs="Arial"/>
          <w:bCs/>
          <w:sz w:val="20"/>
          <w:szCs w:val="22"/>
        </w:rPr>
        <w:t>Services internes du Grand Chalon et de la Ville de Chalon, en particulier :</w:t>
      </w:r>
    </w:p>
    <w:p w:rsidR="00B74D05" w:rsidRPr="00B74D05" w:rsidRDefault="00B74D05" w:rsidP="00B74D05">
      <w:pPr>
        <w:pStyle w:val="Paragraphedeliste"/>
        <w:numPr>
          <w:ilvl w:val="1"/>
          <w:numId w:val="14"/>
        </w:numPr>
        <w:jc w:val="both"/>
        <w:rPr>
          <w:rFonts w:ascii="Arial" w:eastAsia="Arial" w:hAnsi="Arial" w:cs="Arial"/>
          <w:sz w:val="20"/>
          <w:szCs w:val="20"/>
        </w:rPr>
      </w:pPr>
      <w:r>
        <w:rPr>
          <w:rFonts w:ascii="Arial" w:eastAsia="Arial" w:hAnsi="Arial" w:cs="Arial"/>
          <w:sz w:val="20"/>
          <w:szCs w:val="20"/>
        </w:rPr>
        <w:t>S</w:t>
      </w:r>
      <w:r w:rsidRPr="00B74D05">
        <w:rPr>
          <w:rFonts w:ascii="Arial" w:eastAsia="Arial" w:hAnsi="Arial" w:cs="Arial"/>
          <w:sz w:val="20"/>
          <w:szCs w:val="20"/>
        </w:rPr>
        <w:t>ervice SIG</w:t>
      </w:r>
    </w:p>
    <w:p w:rsidR="00B74D05" w:rsidRPr="00B74D05" w:rsidRDefault="00B74D05" w:rsidP="00B74D05">
      <w:pPr>
        <w:pStyle w:val="Paragraphedeliste"/>
        <w:numPr>
          <w:ilvl w:val="1"/>
          <w:numId w:val="14"/>
        </w:numPr>
        <w:jc w:val="both"/>
        <w:rPr>
          <w:rFonts w:ascii="Arial" w:eastAsia="Arial" w:hAnsi="Arial" w:cs="Arial"/>
          <w:sz w:val="20"/>
          <w:szCs w:val="20"/>
        </w:rPr>
      </w:pPr>
      <w:r>
        <w:rPr>
          <w:rFonts w:ascii="Arial" w:eastAsia="Arial" w:hAnsi="Arial" w:cs="Arial"/>
          <w:sz w:val="20"/>
          <w:szCs w:val="20"/>
        </w:rPr>
        <w:t>S</w:t>
      </w:r>
      <w:r w:rsidRPr="00B74D05">
        <w:rPr>
          <w:rFonts w:ascii="Arial" w:eastAsia="Arial" w:hAnsi="Arial" w:cs="Arial"/>
          <w:sz w:val="20"/>
          <w:szCs w:val="20"/>
        </w:rPr>
        <w:t>ervice autorisations droits de sols</w:t>
      </w:r>
    </w:p>
    <w:p w:rsidR="00B74D05" w:rsidRPr="00B74D05" w:rsidRDefault="00B74D05" w:rsidP="00B74D05">
      <w:pPr>
        <w:pStyle w:val="Paragraphedeliste"/>
        <w:numPr>
          <w:ilvl w:val="1"/>
          <w:numId w:val="14"/>
        </w:numPr>
        <w:jc w:val="both"/>
        <w:rPr>
          <w:rFonts w:ascii="Arial" w:eastAsia="Arial" w:hAnsi="Arial" w:cs="Arial"/>
          <w:sz w:val="20"/>
          <w:szCs w:val="20"/>
        </w:rPr>
      </w:pPr>
      <w:r>
        <w:rPr>
          <w:rFonts w:ascii="Arial" w:eastAsia="Arial" w:hAnsi="Arial" w:cs="Arial"/>
          <w:sz w:val="20"/>
          <w:szCs w:val="20"/>
        </w:rPr>
        <w:t>S</w:t>
      </w:r>
      <w:r w:rsidRPr="00B74D05">
        <w:rPr>
          <w:rFonts w:ascii="Arial" w:eastAsia="Arial" w:hAnsi="Arial" w:cs="Arial"/>
          <w:sz w:val="20"/>
          <w:szCs w:val="20"/>
        </w:rPr>
        <w:t>ervice informatique</w:t>
      </w:r>
    </w:p>
    <w:p w:rsidR="00B74D05" w:rsidRDefault="00B74D05" w:rsidP="00B74D05">
      <w:pPr>
        <w:pStyle w:val="Paragraphedeliste"/>
        <w:numPr>
          <w:ilvl w:val="1"/>
          <w:numId w:val="14"/>
        </w:numPr>
        <w:jc w:val="both"/>
        <w:rPr>
          <w:rFonts w:ascii="Arial" w:eastAsia="Arial" w:hAnsi="Arial" w:cs="Arial"/>
          <w:sz w:val="20"/>
          <w:szCs w:val="20"/>
        </w:rPr>
      </w:pPr>
      <w:r w:rsidRPr="00B74D05">
        <w:rPr>
          <w:rFonts w:ascii="Arial" w:eastAsia="Arial" w:hAnsi="Arial" w:cs="Arial"/>
          <w:sz w:val="20"/>
          <w:szCs w:val="20"/>
        </w:rPr>
        <w:t>L’e-administration</w:t>
      </w:r>
    </w:p>
    <w:p w:rsidR="00B74D05" w:rsidRPr="00B74D05" w:rsidRDefault="00B74D05" w:rsidP="00B74D05">
      <w:pPr>
        <w:pStyle w:val="Paragraphedeliste"/>
        <w:numPr>
          <w:ilvl w:val="1"/>
          <w:numId w:val="14"/>
        </w:numPr>
        <w:jc w:val="both"/>
        <w:rPr>
          <w:rFonts w:ascii="Arial" w:eastAsia="Arial" w:hAnsi="Arial" w:cs="Arial"/>
          <w:sz w:val="20"/>
          <w:szCs w:val="20"/>
        </w:rPr>
      </w:pPr>
      <w:r>
        <w:rPr>
          <w:rFonts w:ascii="Arial" w:eastAsia="Arial" w:hAnsi="Arial" w:cs="Arial"/>
          <w:sz w:val="20"/>
          <w:szCs w:val="20"/>
        </w:rPr>
        <w:t>Services de la DGA au cadre de vie (Voirie, Espaces verts, Pôle Etudes et Ingénierie)</w:t>
      </w:r>
    </w:p>
    <w:p w:rsidR="00B74D05" w:rsidRPr="00B74D05" w:rsidRDefault="00B74D05" w:rsidP="00B74D05">
      <w:pPr>
        <w:ind w:left="1080"/>
        <w:jc w:val="both"/>
        <w:rPr>
          <w:rFonts w:ascii="Arial" w:eastAsia="Arial" w:hAnsi="Arial" w:cs="Arial"/>
          <w:sz w:val="20"/>
          <w:szCs w:val="20"/>
        </w:rPr>
      </w:pPr>
    </w:p>
    <w:p w:rsidR="00B74D05" w:rsidRPr="00B74D05" w:rsidRDefault="00B74D05" w:rsidP="00B74D05">
      <w:pPr>
        <w:pStyle w:val="Paragraphedeliste"/>
        <w:numPr>
          <w:ilvl w:val="0"/>
          <w:numId w:val="14"/>
        </w:numPr>
        <w:rPr>
          <w:rFonts w:ascii="Calibri" w:hAnsi="Calibri" w:cs="Calibri"/>
          <w:b/>
          <w:bCs/>
          <w:sz w:val="22"/>
          <w:szCs w:val="22"/>
        </w:rPr>
      </w:pPr>
      <w:r w:rsidRPr="00B74D05">
        <w:rPr>
          <w:rFonts w:ascii="Calibri" w:hAnsi="Calibri" w:cs="Calibri"/>
          <w:b/>
          <w:bCs/>
          <w:sz w:val="22"/>
          <w:szCs w:val="22"/>
        </w:rPr>
        <w:t>Relations fonctionnelles externes :</w:t>
      </w:r>
    </w:p>
    <w:p w:rsidR="00B74D05" w:rsidRDefault="00B74D05" w:rsidP="00B74D05">
      <w:pPr>
        <w:pStyle w:val="Paragraphedeliste"/>
        <w:numPr>
          <w:ilvl w:val="1"/>
          <w:numId w:val="14"/>
        </w:numPr>
        <w:jc w:val="both"/>
        <w:rPr>
          <w:rFonts w:ascii="Arial" w:eastAsia="Arial" w:hAnsi="Arial" w:cs="Arial"/>
          <w:sz w:val="20"/>
          <w:szCs w:val="20"/>
        </w:rPr>
      </w:pPr>
      <w:r>
        <w:rPr>
          <w:rFonts w:ascii="Arial" w:eastAsia="Arial" w:hAnsi="Arial" w:cs="Arial"/>
          <w:sz w:val="20"/>
          <w:szCs w:val="20"/>
        </w:rPr>
        <w:t>E</w:t>
      </w:r>
      <w:r w:rsidRPr="00A74A1C">
        <w:rPr>
          <w:rFonts w:ascii="Arial" w:eastAsia="Arial" w:hAnsi="Arial" w:cs="Arial"/>
          <w:sz w:val="20"/>
          <w:szCs w:val="20"/>
        </w:rPr>
        <w:t>xploitants des réseaux d’eaux pluviales (Régie de la DEA et SUEZ)</w:t>
      </w:r>
    </w:p>
    <w:p w:rsidR="00B74D05" w:rsidRDefault="00B74D05" w:rsidP="00B74D05">
      <w:pPr>
        <w:pStyle w:val="Paragraphedeliste"/>
        <w:numPr>
          <w:ilvl w:val="1"/>
          <w:numId w:val="14"/>
        </w:numPr>
        <w:jc w:val="both"/>
        <w:rPr>
          <w:rFonts w:ascii="Arial" w:eastAsia="Arial" w:hAnsi="Arial" w:cs="Arial"/>
          <w:sz w:val="20"/>
          <w:szCs w:val="20"/>
        </w:rPr>
      </w:pPr>
      <w:r>
        <w:rPr>
          <w:rFonts w:ascii="Arial" w:eastAsia="Arial" w:hAnsi="Arial" w:cs="Arial"/>
          <w:sz w:val="20"/>
          <w:szCs w:val="20"/>
        </w:rPr>
        <w:t>Bureaux d’études VRD, géotechniciens, Architectes, Maîtres d’ouvrage</w:t>
      </w:r>
    </w:p>
    <w:p w:rsidR="00B74D05" w:rsidRDefault="00B74D05" w:rsidP="00B74D05">
      <w:pPr>
        <w:pStyle w:val="Paragraphedeliste"/>
        <w:numPr>
          <w:ilvl w:val="1"/>
          <w:numId w:val="14"/>
        </w:numPr>
        <w:jc w:val="both"/>
        <w:rPr>
          <w:rFonts w:ascii="Arial" w:eastAsia="Arial" w:hAnsi="Arial" w:cs="Arial"/>
          <w:sz w:val="20"/>
          <w:szCs w:val="20"/>
        </w:rPr>
      </w:pPr>
      <w:r>
        <w:rPr>
          <w:rFonts w:ascii="Arial" w:eastAsia="Arial" w:hAnsi="Arial" w:cs="Arial"/>
          <w:sz w:val="20"/>
          <w:szCs w:val="20"/>
        </w:rPr>
        <w:t xml:space="preserve">Réseaux d’échange de la collectivité : GRAIE, FNCCR, </w:t>
      </w:r>
      <w:proofErr w:type="gramStart"/>
      <w:r>
        <w:rPr>
          <w:rFonts w:ascii="Arial" w:eastAsia="Arial" w:hAnsi="Arial" w:cs="Arial"/>
          <w:sz w:val="20"/>
          <w:szCs w:val="20"/>
        </w:rPr>
        <w:t>ADOPTA,…</w:t>
      </w:r>
      <w:proofErr w:type="gramEnd"/>
    </w:p>
    <w:p w:rsidR="00B74D05" w:rsidRPr="00A74A1C" w:rsidRDefault="00B74D05" w:rsidP="00B74D05">
      <w:pPr>
        <w:pStyle w:val="Paragraphedeliste"/>
        <w:numPr>
          <w:ilvl w:val="1"/>
          <w:numId w:val="14"/>
        </w:numPr>
        <w:jc w:val="both"/>
        <w:rPr>
          <w:rFonts w:ascii="Arial" w:eastAsia="Arial" w:hAnsi="Arial" w:cs="Arial"/>
          <w:sz w:val="20"/>
          <w:szCs w:val="20"/>
        </w:rPr>
      </w:pPr>
      <w:r>
        <w:rPr>
          <w:rFonts w:ascii="Arial" w:eastAsia="Arial" w:hAnsi="Arial" w:cs="Arial"/>
          <w:sz w:val="20"/>
          <w:szCs w:val="20"/>
        </w:rPr>
        <w:t>Autres collectivités motivées par la gestion intégrée des eaux pluviales</w:t>
      </w:r>
    </w:p>
    <w:p w:rsidR="00B74D05" w:rsidRDefault="00B74D05" w:rsidP="00B74D05">
      <w:pPr>
        <w:jc w:val="both"/>
        <w:rPr>
          <w:rFonts w:ascii="Arial" w:eastAsia="Arial" w:hAnsi="Arial" w:cs="Arial"/>
          <w:sz w:val="20"/>
          <w:szCs w:val="20"/>
        </w:rPr>
      </w:pPr>
    </w:p>
    <w:p w:rsidR="00B74D05" w:rsidRDefault="00B74D05" w:rsidP="00B74D05">
      <w:pPr>
        <w:jc w:val="both"/>
        <w:rPr>
          <w:rFonts w:ascii="Arial" w:eastAsia="Arial" w:hAnsi="Arial" w:cs="Arial"/>
          <w:sz w:val="20"/>
          <w:szCs w:val="20"/>
        </w:rPr>
      </w:pPr>
    </w:p>
    <w:p w:rsidR="00B74D05" w:rsidRPr="00B74D05" w:rsidRDefault="00B74D05" w:rsidP="00B74D05">
      <w:pPr>
        <w:jc w:val="both"/>
        <w:rPr>
          <w:rFonts w:ascii="Arial" w:eastAsia="Arial" w:hAnsi="Arial" w:cs="Arial"/>
          <w:sz w:val="20"/>
          <w:szCs w:val="20"/>
        </w:rPr>
      </w:pPr>
    </w:p>
    <w:p w:rsidR="00C4520A" w:rsidRPr="00A74A1C" w:rsidRDefault="00C4520A" w:rsidP="00C4520A">
      <w:pPr>
        <w:jc w:val="both"/>
        <w:rPr>
          <w:rFonts w:ascii="Arial" w:eastAsia="Arial" w:hAnsi="Arial" w:cs="Arial"/>
          <w:b/>
          <w:sz w:val="20"/>
          <w:szCs w:val="20"/>
        </w:rPr>
      </w:pPr>
    </w:p>
    <w:p w:rsidR="00C4520A" w:rsidRPr="00A74A1C" w:rsidRDefault="00C4520A" w:rsidP="00C4520A">
      <w:pPr>
        <w:jc w:val="both"/>
        <w:rPr>
          <w:rFonts w:ascii="Arial" w:eastAsia="Arial" w:hAnsi="Arial" w:cs="Arial"/>
          <w:b/>
          <w:sz w:val="20"/>
          <w:szCs w:val="20"/>
        </w:rPr>
      </w:pPr>
    </w:p>
    <w:p w:rsidR="00C4520A" w:rsidRPr="00A74A1C" w:rsidRDefault="00C4520A" w:rsidP="00C4520A">
      <w:pPr>
        <w:jc w:val="both"/>
        <w:rPr>
          <w:rFonts w:ascii="Arial" w:eastAsia="Arial" w:hAnsi="Arial" w:cs="Arial"/>
          <w:b/>
          <w:sz w:val="20"/>
          <w:szCs w:val="20"/>
        </w:rPr>
      </w:pPr>
      <w:r w:rsidRPr="00A74A1C">
        <w:rPr>
          <w:rFonts w:ascii="Arial" w:eastAsia="Arial" w:hAnsi="Arial" w:cs="Arial"/>
          <w:b/>
          <w:sz w:val="20"/>
          <w:szCs w:val="20"/>
        </w:rPr>
        <w:t xml:space="preserve">Horaires : </w:t>
      </w:r>
      <w:r w:rsidR="00832E16" w:rsidRPr="00A74A1C">
        <w:rPr>
          <w:rFonts w:ascii="Arial" w:eastAsia="Arial" w:hAnsi="Arial" w:cs="Arial"/>
          <w:b/>
          <w:sz w:val="20"/>
          <w:szCs w:val="20"/>
        </w:rPr>
        <w:t>heures de bureaux</w:t>
      </w:r>
      <w:r w:rsidR="009E5FDE" w:rsidRPr="00A74A1C">
        <w:rPr>
          <w:rFonts w:ascii="Arial" w:eastAsia="Arial" w:hAnsi="Arial" w:cs="Arial"/>
          <w:b/>
          <w:sz w:val="20"/>
          <w:szCs w:val="20"/>
        </w:rPr>
        <w:t xml:space="preserve"> (modulables)</w:t>
      </w:r>
    </w:p>
    <w:p w:rsidR="00C4520A" w:rsidRPr="00A74A1C" w:rsidRDefault="00C4520A" w:rsidP="00C4520A">
      <w:pPr>
        <w:jc w:val="both"/>
        <w:rPr>
          <w:rFonts w:ascii="Arial" w:eastAsia="Arial" w:hAnsi="Arial" w:cs="Arial"/>
          <w:b/>
          <w:sz w:val="20"/>
          <w:szCs w:val="20"/>
        </w:rPr>
      </w:pPr>
    </w:p>
    <w:p w:rsidR="00C4520A" w:rsidRPr="00A74A1C" w:rsidRDefault="006C029A" w:rsidP="007C193C">
      <w:pPr>
        <w:pStyle w:val="Paragraphedeliste"/>
        <w:numPr>
          <w:ilvl w:val="0"/>
          <w:numId w:val="15"/>
        </w:numPr>
        <w:jc w:val="both"/>
        <w:rPr>
          <w:rFonts w:ascii="Arial" w:eastAsia="Arial" w:hAnsi="Arial" w:cs="Arial"/>
          <w:sz w:val="20"/>
          <w:szCs w:val="20"/>
        </w:rPr>
      </w:pPr>
      <w:r w:rsidRPr="00A74A1C">
        <w:rPr>
          <w:rFonts w:ascii="Arial" w:eastAsia="Arial" w:hAnsi="Arial" w:cs="Arial"/>
          <w:sz w:val="20"/>
          <w:szCs w:val="20"/>
        </w:rPr>
        <w:t>8h30</w:t>
      </w:r>
      <w:r w:rsidR="00832E16" w:rsidRPr="00A74A1C">
        <w:rPr>
          <w:rFonts w:ascii="Arial" w:eastAsia="Arial" w:hAnsi="Arial" w:cs="Arial"/>
          <w:sz w:val="20"/>
          <w:szCs w:val="20"/>
        </w:rPr>
        <w:t>-12h00</w:t>
      </w:r>
    </w:p>
    <w:p w:rsidR="00832E16" w:rsidRPr="00A74A1C" w:rsidRDefault="006C029A" w:rsidP="007C193C">
      <w:pPr>
        <w:pStyle w:val="Paragraphedeliste"/>
        <w:numPr>
          <w:ilvl w:val="0"/>
          <w:numId w:val="15"/>
        </w:numPr>
        <w:jc w:val="both"/>
        <w:rPr>
          <w:rFonts w:ascii="Arial" w:eastAsia="Arial" w:hAnsi="Arial" w:cs="Arial"/>
          <w:sz w:val="20"/>
          <w:szCs w:val="20"/>
        </w:rPr>
      </w:pPr>
      <w:r w:rsidRPr="00A74A1C">
        <w:rPr>
          <w:rFonts w:ascii="Arial" w:eastAsia="Arial" w:hAnsi="Arial" w:cs="Arial"/>
          <w:sz w:val="20"/>
          <w:szCs w:val="20"/>
        </w:rPr>
        <w:t>13h30</w:t>
      </w:r>
      <w:r w:rsidR="004E6B40" w:rsidRPr="00A74A1C">
        <w:rPr>
          <w:rFonts w:ascii="Arial" w:eastAsia="Arial" w:hAnsi="Arial" w:cs="Arial"/>
          <w:sz w:val="20"/>
          <w:szCs w:val="20"/>
        </w:rPr>
        <w:t>-</w:t>
      </w:r>
      <w:r w:rsidR="009E5FDE" w:rsidRPr="00A74A1C">
        <w:rPr>
          <w:rFonts w:ascii="Arial" w:eastAsia="Arial" w:hAnsi="Arial" w:cs="Arial"/>
          <w:sz w:val="20"/>
          <w:szCs w:val="20"/>
        </w:rPr>
        <w:t>17h0</w:t>
      </w:r>
      <w:r w:rsidR="004E6B40" w:rsidRPr="00A74A1C">
        <w:rPr>
          <w:rFonts w:ascii="Arial" w:eastAsia="Arial" w:hAnsi="Arial" w:cs="Arial"/>
          <w:sz w:val="20"/>
          <w:szCs w:val="20"/>
        </w:rPr>
        <w:t>0</w:t>
      </w:r>
    </w:p>
    <w:p w:rsidR="00C4520A" w:rsidRPr="00A74A1C" w:rsidRDefault="00C4520A" w:rsidP="00C4520A">
      <w:pPr>
        <w:jc w:val="both"/>
        <w:rPr>
          <w:rFonts w:ascii="Arial" w:eastAsia="Arial" w:hAnsi="Arial" w:cs="Arial"/>
          <w:b/>
          <w:sz w:val="20"/>
          <w:szCs w:val="20"/>
        </w:rPr>
      </w:pPr>
    </w:p>
    <w:p w:rsidR="00C4520A" w:rsidRPr="00A74A1C" w:rsidRDefault="00C4520A" w:rsidP="00C4520A">
      <w:pPr>
        <w:jc w:val="both"/>
        <w:rPr>
          <w:rFonts w:ascii="Arial" w:eastAsia="Arial" w:hAnsi="Arial" w:cs="Arial"/>
          <w:b/>
          <w:sz w:val="20"/>
          <w:szCs w:val="20"/>
        </w:rPr>
      </w:pPr>
    </w:p>
    <w:p w:rsidR="00C4520A" w:rsidRPr="00A74A1C" w:rsidRDefault="00C4520A" w:rsidP="00C4520A">
      <w:pPr>
        <w:jc w:val="both"/>
        <w:rPr>
          <w:rFonts w:ascii="Arial" w:eastAsia="Arial" w:hAnsi="Arial" w:cs="Arial"/>
          <w:b/>
          <w:sz w:val="20"/>
          <w:szCs w:val="20"/>
        </w:rPr>
      </w:pPr>
      <w:r w:rsidRPr="00A74A1C">
        <w:rPr>
          <w:rFonts w:ascii="Arial" w:eastAsia="Arial" w:hAnsi="Arial" w:cs="Arial"/>
          <w:b/>
          <w:sz w:val="20"/>
          <w:szCs w:val="20"/>
        </w:rPr>
        <w:t>Lieu de travail :</w:t>
      </w:r>
    </w:p>
    <w:p w:rsidR="00C4520A" w:rsidRPr="00A74A1C" w:rsidRDefault="00C4520A" w:rsidP="00C4520A">
      <w:pPr>
        <w:jc w:val="both"/>
        <w:rPr>
          <w:rFonts w:ascii="Arial" w:eastAsia="Arial" w:hAnsi="Arial" w:cs="Arial"/>
          <w:b/>
          <w:sz w:val="20"/>
          <w:szCs w:val="20"/>
        </w:rPr>
      </w:pPr>
    </w:p>
    <w:p w:rsidR="00C4520A" w:rsidRPr="00A74A1C" w:rsidRDefault="007C193C" w:rsidP="001F1C07">
      <w:pPr>
        <w:pStyle w:val="Paragraphedeliste"/>
        <w:numPr>
          <w:ilvl w:val="0"/>
          <w:numId w:val="14"/>
        </w:numPr>
        <w:jc w:val="both"/>
        <w:rPr>
          <w:rFonts w:ascii="Arial" w:eastAsia="Arial" w:hAnsi="Arial" w:cs="Arial"/>
          <w:sz w:val="20"/>
          <w:szCs w:val="20"/>
        </w:rPr>
      </w:pPr>
      <w:proofErr w:type="spellStart"/>
      <w:r w:rsidRPr="00A74A1C">
        <w:rPr>
          <w:rFonts w:ascii="Arial" w:eastAsia="Arial" w:hAnsi="Arial" w:cs="Arial"/>
          <w:sz w:val="20"/>
          <w:szCs w:val="20"/>
        </w:rPr>
        <w:t>Pole</w:t>
      </w:r>
      <w:proofErr w:type="spellEnd"/>
      <w:r w:rsidRPr="00A74A1C">
        <w:rPr>
          <w:rFonts w:ascii="Arial" w:eastAsia="Arial" w:hAnsi="Arial" w:cs="Arial"/>
          <w:sz w:val="20"/>
          <w:szCs w:val="20"/>
        </w:rPr>
        <w:t xml:space="preserve"> Environnement - </w:t>
      </w:r>
      <w:r w:rsidR="00832E16" w:rsidRPr="00A74A1C">
        <w:rPr>
          <w:rFonts w:ascii="Arial" w:eastAsia="Arial" w:hAnsi="Arial" w:cs="Arial"/>
          <w:sz w:val="20"/>
          <w:szCs w:val="20"/>
        </w:rPr>
        <w:t xml:space="preserve">16 Rue Louis-Jacques </w:t>
      </w:r>
      <w:proofErr w:type="spellStart"/>
      <w:r w:rsidR="00832E16" w:rsidRPr="00A74A1C">
        <w:rPr>
          <w:rFonts w:ascii="Arial" w:eastAsia="Arial" w:hAnsi="Arial" w:cs="Arial"/>
          <w:sz w:val="20"/>
          <w:szCs w:val="20"/>
        </w:rPr>
        <w:t>Thénard</w:t>
      </w:r>
      <w:proofErr w:type="spellEnd"/>
      <w:r w:rsidR="00832E16" w:rsidRPr="00A74A1C">
        <w:rPr>
          <w:rFonts w:ascii="Arial" w:eastAsia="Arial" w:hAnsi="Arial" w:cs="Arial"/>
          <w:sz w:val="20"/>
          <w:szCs w:val="20"/>
        </w:rPr>
        <w:t xml:space="preserve"> 71100 CHALON SUR SAONE</w:t>
      </w:r>
    </w:p>
    <w:p w:rsidR="00C4520A" w:rsidRPr="00A74A1C" w:rsidRDefault="00C4520A" w:rsidP="00C4520A">
      <w:pPr>
        <w:jc w:val="both"/>
        <w:rPr>
          <w:rFonts w:ascii="Arial" w:eastAsia="Arial" w:hAnsi="Arial" w:cs="Arial"/>
          <w:b/>
          <w:sz w:val="20"/>
          <w:szCs w:val="20"/>
        </w:rPr>
      </w:pPr>
    </w:p>
    <w:p w:rsidR="00C4520A" w:rsidRPr="00A74A1C" w:rsidRDefault="00C4520A" w:rsidP="00C4520A">
      <w:pPr>
        <w:jc w:val="both"/>
        <w:rPr>
          <w:rFonts w:ascii="Arial" w:eastAsia="Arial" w:hAnsi="Arial" w:cs="Arial"/>
          <w:b/>
          <w:sz w:val="20"/>
          <w:szCs w:val="20"/>
        </w:rPr>
      </w:pPr>
    </w:p>
    <w:p w:rsidR="00C4520A" w:rsidRPr="00A74A1C" w:rsidRDefault="00C4520A" w:rsidP="00C4520A">
      <w:pPr>
        <w:jc w:val="both"/>
        <w:rPr>
          <w:rFonts w:ascii="Arial" w:eastAsia="Arial" w:hAnsi="Arial" w:cs="Arial"/>
          <w:b/>
          <w:sz w:val="20"/>
          <w:szCs w:val="20"/>
        </w:rPr>
      </w:pPr>
      <w:r w:rsidRPr="00A74A1C">
        <w:rPr>
          <w:rFonts w:ascii="Arial" w:eastAsia="Arial" w:hAnsi="Arial" w:cs="Arial"/>
          <w:b/>
          <w:sz w:val="20"/>
          <w:szCs w:val="20"/>
        </w:rPr>
        <w:t>Diplômes souhaités</w:t>
      </w:r>
    </w:p>
    <w:p w:rsidR="00C4520A" w:rsidRPr="00A74A1C" w:rsidRDefault="00C4520A" w:rsidP="00C4520A">
      <w:pPr>
        <w:spacing w:after="120"/>
        <w:jc w:val="both"/>
        <w:rPr>
          <w:rFonts w:ascii="Arial" w:eastAsia="Arial" w:hAnsi="Arial" w:cs="Arial"/>
          <w:sz w:val="20"/>
          <w:szCs w:val="20"/>
        </w:rPr>
      </w:pPr>
      <w:r w:rsidRPr="00A74A1C">
        <w:rPr>
          <w:rFonts w:ascii="Arial" w:eastAsia="Arial" w:hAnsi="Arial" w:cs="Arial"/>
          <w:sz w:val="20"/>
          <w:szCs w:val="20"/>
        </w:rPr>
        <w:t>-</w:t>
      </w:r>
      <w:r w:rsidR="00832E16" w:rsidRPr="00A74A1C">
        <w:rPr>
          <w:rFonts w:ascii="Arial" w:eastAsia="Arial" w:hAnsi="Arial" w:cs="Arial"/>
          <w:sz w:val="20"/>
          <w:szCs w:val="20"/>
        </w:rPr>
        <w:t xml:space="preserve"> </w:t>
      </w:r>
      <w:r w:rsidR="003B54AE" w:rsidRPr="007B4F1B">
        <w:rPr>
          <w:rFonts w:asciiTheme="minorHAnsi" w:eastAsia="Arial" w:hAnsiTheme="minorHAnsi" w:cstheme="minorHAnsi"/>
          <w:sz w:val="22"/>
          <w:szCs w:val="20"/>
        </w:rPr>
        <w:t>Ecole d’ingénieur ou Master scientifique (bac +5) en hydrologie urbaine</w:t>
      </w:r>
      <w:r w:rsidR="003B54AE">
        <w:rPr>
          <w:rFonts w:asciiTheme="minorHAnsi" w:eastAsia="Arial" w:hAnsiTheme="minorHAnsi" w:cstheme="minorHAnsi"/>
          <w:sz w:val="22"/>
          <w:szCs w:val="20"/>
        </w:rPr>
        <w:t xml:space="preserve"> / gestion durable et intégrée des eaux pluviales</w:t>
      </w:r>
      <w:r w:rsidR="003B54AE" w:rsidRPr="00A74A1C">
        <w:rPr>
          <w:rFonts w:ascii="Arial" w:eastAsia="Arial" w:hAnsi="Arial" w:cs="Arial"/>
          <w:sz w:val="20"/>
          <w:szCs w:val="20"/>
        </w:rPr>
        <w:t xml:space="preserve"> </w:t>
      </w:r>
      <w:r w:rsidR="00832E16" w:rsidRPr="00A74A1C">
        <w:rPr>
          <w:rFonts w:ascii="Arial" w:eastAsia="Arial" w:hAnsi="Arial" w:cs="Arial"/>
          <w:sz w:val="20"/>
          <w:szCs w:val="20"/>
        </w:rPr>
        <w:t xml:space="preserve">avec des compétences en SIG, aménagement du territoire, </w:t>
      </w:r>
      <w:r w:rsidR="004E6B40" w:rsidRPr="00A74A1C">
        <w:rPr>
          <w:rFonts w:ascii="Arial" w:eastAsia="Arial" w:hAnsi="Arial" w:cs="Arial"/>
          <w:sz w:val="20"/>
          <w:szCs w:val="20"/>
        </w:rPr>
        <w:t>gestion de données usagés</w:t>
      </w:r>
    </w:p>
    <w:p w:rsidR="00C4520A" w:rsidRPr="00A74A1C" w:rsidRDefault="00C4520A" w:rsidP="00C4520A">
      <w:pPr>
        <w:spacing w:after="120"/>
        <w:jc w:val="both"/>
        <w:rPr>
          <w:rFonts w:ascii="Arial" w:eastAsia="Arial" w:hAnsi="Arial" w:cs="Arial"/>
          <w:sz w:val="20"/>
          <w:szCs w:val="20"/>
        </w:rPr>
      </w:pPr>
      <w:r w:rsidRPr="00A74A1C">
        <w:rPr>
          <w:rFonts w:ascii="Arial" w:eastAsia="Arial" w:hAnsi="Arial" w:cs="Arial"/>
          <w:sz w:val="20"/>
          <w:szCs w:val="20"/>
        </w:rPr>
        <w:t>-</w:t>
      </w:r>
    </w:p>
    <w:p w:rsidR="00C4520A" w:rsidRPr="00A74A1C" w:rsidRDefault="00C4520A" w:rsidP="00C4520A">
      <w:pPr>
        <w:spacing w:after="120"/>
        <w:jc w:val="both"/>
        <w:rPr>
          <w:rFonts w:ascii="Arial" w:eastAsia="Arial" w:hAnsi="Arial" w:cs="Arial"/>
          <w:sz w:val="20"/>
          <w:szCs w:val="20"/>
        </w:rPr>
      </w:pPr>
    </w:p>
    <w:p w:rsidR="00C4520A" w:rsidRPr="00A74A1C" w:rsidRDefault="00C4520A" w:rsidP="00C4520A">
      <w:pPr>
        <w:spacing w:after="120"/>
        <w:jc w:val="both"/>
        <w:rPr>
          <w:rFonts w:ascii="Arial" w:eastAsia="Arial" w:hAnsi="Arial" w:cs="Arial"/>
          <w:b/>
          <w:sz w:val="20"/>
          <w:szCs w:val="20"/>
        </w:rPr>
      </w:pPr>
      <w:r w:rsidRPr="00A74A1C">
        <w:rPr>
          <w:rFonts w:ascii="Arial" w:eastAsia="Arial" w:hAnsi="Arial" w:cs="Arial"/>
          <w:b/>
          <w:sz w:val="20"/>
          <w:szCs w:val="20"/>
        </w:rPr>
        <w:t xml:space="preserve">A savoir / remarques </w:t>
      </w:r>
    </w:p>
    <w:p w:rsidR="000D316D" w:rsidRPr="00A74A1C" w:rsidRDefault="000D316D" w:rsidP="000D316D">
      <w:pPr>
        <w:spacing w:after="120"/>
        <w:jc w:val="both"/>
        <w:rPr>
          <w:rFonts w:ascii="Arial" w:eastAsia="Arial" w:hAnsi="Arial" w:cs="Arial"/>
          <w:sz w:val="20"/>
          <w:szCs w:val="20"/>
        </w:rPr>
      </w:pPr>
      <w:r w:rsidRPr="00A74A1C">
        <w:rPr>
          <w:rFonts w:ascii="Arial" w:eastAsia="Arial" w:hAnsi="Arial" w:cs="Arial"/>
          <w:sz w:val="20"/>
          <w:szCs w:val="20"/>
        </w:rPr>
        <w:t>Compétences et technicités exigées pour le poste :</w:t>
      </w:r>
    </w:p>
    <w:p w:rsidR="000D316D" w:rsidRPr="003B54AE" w:rsidRDefault="000D316D" w:rsidP="003B54AE">
      <w:pPr>
        <w:spacing w:after="120"/>
        <w:jc w:val="both"/>
        <w:rPr>
          <w:rFonts w:ascii="Arial" w:eastAsia="Arial" w:hAnsi="Arial" w:cs="Arial"/>
          <w:sz w:val="20"/>
          <w:szCs w:val="20"/>
        </w:rPr>
      </w:pPr>
      <w:r w:rsidRPr="003B54AE">
        <w:rPr>
          <w:rFonts w:ascii="Arial" w:eastAsia="Arial" w:hAnsi="Arial" w:cs="Arial"/>
          <w:sz w:val="20"/>
          <w:szCs w:val="20"/>
        </w:rPr>
        <w:t>Savoirs :</w:t>
      </w:r>
    </w:p>
    <w:p w:rsidR="000D316D" w:rsidRPr="003B54AE" w:rsidRDefault="000D316D" w:rsidP="003B54AE">
      <w:pPr>
        <w:pStyle w:val="Paragraphedeliste"/>
        <w:numPr>
          <w:ilvl w:val="0"/>
          <w:numId w:val="23"/>
        </w:numPr>
        <w:spacing w:after="120"/>
        <w:jc w:val="both"/>
        <w:rPr>
          <w:rFonts w:ascii="Arial" w:eastAsia="Arial" w:hAnsi="Arial" w:cs="Arial"/>
          <w:sz w:val="20"/>
          <w:szCs w:val="20"/>
        </w:rPr>
      </w:pPr>
      <w:r w:rsidRPr="003B54AE">
        <w:rPr>
          <w:rFonts w:ascii="Arial" w:eastAsia="Arial" w:hAnsi="Arial" w:cs="Arial"/>
          <w:sz w:val="20"/>
          <w:szCs w:val="20"/>
        </w:rPr>
        <w:t xml:space="preserve">Connaissance dans le domaine de l’hydrologie urbaine </w:t>
      </w:r>
      <w:r w:rsidR="003B54AE">
        <w:rPr>
          <w:rFonts w:ascii="Arial" w:eastAsia="Arial" w:hAnsi="Arial" w:cs="Arial"/>
          <w:sz w:val="20"/>
          <w:szCs w:val="20"/>
        </w:rPr>
        <w:t>et de la gestion intégrée des eaux pluviales</w:t>
      </w:r>
    </w:p>
    <w:p w:rsidR="000D316D" w:rsidRPr="003B54AE" w:rsidRDefault="000D316D" w:rsidP="003B54AE">
      <w:pPr>
        <w:pStyle w:val="Paragraphedeliste"/>
        <w:numPr>
          <w:ilvl w:val="0"/>
          <w:numId w:val="23"/>
        </w:numPr>
        <w:spacing w:after="120"/>
        <w:jc w:val="both"/>
        <w:rPr>
          <w:rFonts w:ascii="Arial" w:eastAsia="Arial" w:hAnsi="Arial" w:cs="Arial"/>
          <w:sz w:val="20"/>
          <w:szCs w:val="20"/>
        </w:rPr>
      </w:pPr>
      <w:r w:rsidRPr="003B54AE">
        <w:rPr>
          <w:rFonts w:ascii="Arial" w:eastAsia="Arial" w:hAnsi="Arial" w:cs="Arial"/>
          <w:sz w:val="20"/>
          <w:szCs w:val="20"/>
        </w:rPr>
        <w:t>Connaissances réglementaires de la gestion de l’eau en général et des eaux pluviales en particulier</w:t>
      </w:r>
    </w:p>
    <w:p w:rsidR="000D316D" w:rsidRPr="003B54AE" w:rsidRDefault="000D316D" w:rsidP="003B54AE">
      <w:pPr>
        <w:pStyle w:val="Paragraphedeliste"/>
        <w:numPr>
          <w:ilvl w:val="0"/>
          <w:numId w:val="23"/>
        </w:numPr>
        <w:spacing w:after="120"/>
        <w:jc w:val="both"/>
        <w:rPr>
          <w:rFonts w:ascii="Arial" w:eastAsia="Arial" w:hAnsi="Arial" w:cs="Arial"/>
          <w:sz w:val="20"/>
          <w:szCs w:val="20"/>
        </w:rPr>
      </w:pPr>
      <w:r w:rsidRPr="003B54AE">
        <w:rPr>
          <w:rFonts w:ascii="Arial" w:eastAsia="Arial" w:hAnsi="Arial" w:cs="Arial"/>
          <w:sz w:val="20"/>
          <w:szCs w:val="20"/>
        </w:rPr>
        <w:t>Maîtrise des outils informatiques (traitement de texte, tableur, SIG, logiciels de modélisation hydraulique)</w:t>
      </w:r>
    </w:p>
    <w:p w:rsidR="000D316D" w:rsidRPr="00A74A1C" w:rsidRDefault="000D316D" w:rsidP="000D316D">
      <w:pPr>
        <w:spacing w:after="120"/>
        <w:jc w:val="both"/>
        <w:rPr>
          <w:rFonts w:ascii="Arial" w:eastAsia="Arial" w:hAnsi="Arial" w:cs="Arial"/>
          <w:sz w:val="20"/>
          <w:szCs w:val="20"/>
        </w:rPr>
      </w:pPr>
      <w:r w:rsidRPr="00A74A1C">
        <w:rPr>
          <w:rFonts w:ascii="Arial" w:eastAsia="Arial" w:hAnsi="Arial" w:cs="Arial"/>
          <w:sz w:val="20"/>
          <w:szCs w:val="20"/>
        </w:rPr>
        <w:t>Savoir-faire :</w:t>
      </w:r>
    </w:p>
    <w:p w:rsidR="003B54AE" w:rsidRPr="003B54AE" w:rsidRDefault="003B54AE" w:rsidP="003B54AE">
      <w:pPr>
        <w:numPr>
          <w:ilvl w:val="0"/>
          <w:numId w:val="22"/>
        </w:numPr>
        <w:jc w:val="both"/>
        <w:rPr>
          <w:rFonts w:ascii="Arial" w:hAnsi="Arial" w:cs="Arial"/>
          <w:sz w:val="20"/>
          <w:szCs w:val="22"/>
        </w:rPr>
      </w:pPr>
      <w:r w:rsidRPr="003B54AE">
        <w:rPr>
          <w:rFonts w:ascii="Arial" w:hAnsi="Arial" w:cs="Arial"/>
          <w:sz w:val="20"/>
          <w:szCs w:val="22"/>
        </w:rPr>
        <w:t>Accompagnement au changement</w:t>
      </w:r>
    </w:p>
    <w:p w:rsidR="003B54AE" w:rsidRPr="003B54AE" w:rsidRDefault="003B54AE" w:rsidP="003B54AE">
      <w:pPr>
        <w:numPr>
          <w:ilvl w:val="0"/>
          <w:numId w:val="22"/>
        </w:numPr>
        <w:jc w:val="both"/>
        <w:rPr>
          <w:rFonts w:ascii="Arial" w:hAnsi="Arial" w:cs="Arial"/>
          <w:sz w:val="20"/>
          <w:szCs w:val="22"/>
        </w:rPr>
      </w:pPr>
      <w:r w:rsidRPr="003B54AE">
        <w:rPr>
          <w:rFonts w:ascii="Arial" w:hAnsi="Arial" w:cs="Arial"/>
          <w:sz w:val="20"/>
          <w:szCs w:val="22"/>
        </w:rPr>
        <w:t xml:space="preserve">Force de propositions </w:t>
      </w:r>
    </w:p>
    <w:p w:rsidR="003B54AE" w:rsidRPr="003B54AE" w:rsidRDefault="003B54AE" w:rsidP="003B54AE">
      <w:pPr>
        <w:numPr>
          <w:ilvl w:val="0"/>
          <w:numId w:val="22"/>
        </w:numPr>
        <w:jc w:val="both"/>
        <w:rPr>
          <w:rFonts w:ascii="Arial" w:hAnsi="Arial" w:cs="Arial"/>
          <w:sz w:val="20"/>
          <w:szCs w:val="22"/>
        </w:rPr>
      </w:pPr>
      <w:r w:rsidRPr="003B54AE">
        <w:rPr>
          <w:rFonts w:ascii="Arial" w:hAnsi="Arial" w:cs="Arial"/>
          <w:sz w:val="20"/>
          <w:szCs w:val="22"/>
        </w:rPr>
        <w:t xml:space="preserve">Capacité à collecter et interpréter des données brutes, </w:t>
      </w:r>
    </w:p>
    <w:p w:rsidR="003B54AE" w:rsidRPr="003B54AE" w:rsidRDefault="003B54AE" w:rsidP="003B54AE">
      <w:pPr>
        <w:numPr>
          <w:ilvl w:val="0"/>
          <w:numId w:val="22"/>
        </w:numPr>
        <w:jc w:val="both"/>
        <w:rPr>
          <w:rFonts w:ascii="Arial" w:hAnsi="Arial" w:cs="Arial"/>
          <w:sz w:val="20"/>
          <w:szCs w:val="22"/>
        </w:rPr>
      </w:pPr>
      <w:r w:rsidRPr="003B54AE">
        <w:rPr>
          <w:rFonts w:ascii="Arial" w:hAnsi="Arial" w:cs="Arial"/>
          <w:sz w:val="20"/>
          <w:szCs w:val="22"/>
        </w:rPr>
        <w:t xml:space="preserve">Esprit de synthèse, </w:t>
      </w:r>
    </w:p>
    <w:p w:rsidR="003B54AE" w:rsidRPr="003B54AE" w:rsidRDefault="003B54AE" w:rsidP="003B54AE">
      <w:pPr>
        <w:numPr>
          <w:ilvl w:val="0"/>
          <w:numId w:val="22"/>
        </w:numPr>
        <w:jc w:val="both"/>
        <w:rPr>
          <w:rFonts w:ascii="Arial" w:hAnsi="Arial" w:cs="Arial"/>
          <w:sz w:val="20"/>
          <w:szCs w:val="22"/>
        </w:rPr>
      </w:pPr>
      <w:r w:rsidRPr="003B54AE">
        <w:rPr>
          <w:rFonts w:ascii="Arial" w:hAnsi="Arial" w:cs="Arial"/>
          <w:sz w:val="20"/>
          <w:szCs w:val="22"/>
        </w:rPr>
        <w:t xml:space="preserve">Aptitude au travail en équipe et avec des partenaires extérieurs, </w:t>
      </w:r>
    </w:p>
    <w:p w:rsidR="003B54AE" w:rsidRPr="003B54AE" w:rsidRDefault="003B54AE" w:rsidP="003B54AE">
      <w:pPr>
        <w:numPr>
          <w:ilvl w:val="0"/>
          <w:numId w:val="22"/>
        </w:numPr>
        <w:jc w:val="both"/>
        <w:rPr>
          <w:rFonts w:ascii="Arial" w:hAnsi="Arial" w:cs="Arial"/>
          <w:sz w:val="20"/>
          <w:szCs w:val="22"/>
        </w:rPr>
      </w:pPr>
      <w:r w:rsidRPr="003B54AE">
        <w:rPr>
          <w:rFonts w:ascii="Arial" w:hAnsi="Arial" w:cs="Arial"/>
          <w:sz w:val="20"/>
          <w:szCs w:val="22"/>
        </w:rPr>
        <w:t>Réactivité,</w:t>
      </w:r>
    </w:p>
    <w:p w:rsidR="003B54AE" w:rsidRPr="003B54AE" w:rsidRDefault="003B54AE" w:rsidP="003B54AE">
      <w:pPr>
        <w:numPr>
          <w:ilvl w:val="0"/>
          <w:numId w:val="22"/>
        </w:numPr>
        <w:jc w:val="both"/>
        <w:rPr>
          <w:rFonts w:ascii="Arial" w:hAnsi="Arial" w:cs="Arial"/>
          <w:sz w:val="20"/>
          <w:szCs w:val="22"/>
        </w:rPr>
      </w:pPr>
      <w:r w:rsidRPr="003B54AE">
        <w:rPr>
          <w:rFonts w:ascii="Arial" w:hAnsi="Arial" w:cs="Arial"/>
          <w:sz w:val="20"/>
          <w:szCs w:val="22"/>
        </w:rPr>
        <w:t>Autonomie,</w:t>
      </w:r>
    </w:p>
    <w:p w:rsidR="00127689" w:rsidRDefault="00127689">
      <w:pPr>
        <w:spacing w:after="160" w:line="259" w:lineRule="auto"/>
        <w:rPr>
          <w:rFonts w:ascii="Arial" w:eastAsia="Arial" w:hAnsi="Arial" w:cs="Arial"/>
          <w:b/>
          <w:sz w:val="20"/>
          <w:szCs w:val="20"/>
        </w:rPr>
      </w:pPr>
      <w:r>
        <w:rPr>
          <w:rFonts w:ascii="Arial" w:eastAsia="Arial" w:hAnsi="Arial" w:cs="Arial"/>
          <w:b/>
          <w:sz w:val="20"/>
          <w:szCs w:val="20"/>
        </w:rPr>
        <w:br w:type="page"/>
      </w:r>
    </w:p>
    <w:p w:rsidR="000D316D" w:rsidRDefault="000D316D" w:rsidP="003B54AE">
      <w:pPr>
        <w:spacing w:after="120"/>
        <w:jc w:val="both"/>
        <w:rPr>
          <w:rFonts w:ascii="Arial" w:eastAsia="Arial" w:hAnsi="Arial" w:cs="Arial"/>
          <w:b/>
          <w:sz w:val="20"/>
          <w:szCs w:val="20"/>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3453"/>
        <w:gridCol w:w="3477"/>
      </w:tblGrid>
      <w:tr w:rsidR="002A078F" w:rsidTr="002A078F">
        <w:trPr>
          <w:jc w:val="center"/>
        </w:trPr>
        <w:tc>
          <w:tcPr>
            <w:tcW w:w="3563" w:type="dxa"/>
            <w:vAlign w:val="center"/>
          </w:tcPr>
          <w:p w:rsidR="002A078F" w:rsidRDefault="002A078F" w:rsidP="002A078F">
            <w:pPr>
              <w:spacing w:after="120"/>
              <w:jc w:val="center"/>
              <w:rPr>
                <w:rFonts w:ascii="Arial" w:eastAsia="Arial" w:hAnsi="Arial" w:cs="Arial"/>
                <w:b/>
                <w:sz w:val="20"/>
                <w:szCs w:val="20"/>
              </w:rPr>
            </w:pPr>
            <w:r>
              <w:rPr>
                <w:rFonts w:ascii="Arial" w:eastAsia="Arial" w:hAnsi="Arial" w:cs="Arial"/>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1pt;height:96pt">
                  <v:imagedata r:id="rId8" o:title="1744808898857"/>
                </v:shape>
              </w:pict>
            </w:r>
          </w:p>
        </w:tc>
        <w:tc>
          <w:tcPr>
            <w:tcW w:w="3388" w:type="dxa"/>
            <w:vMerge w:val="restart"/>
            <w:vAlign w:val="center"/>
          </w:tcPr>
          <w:p w:rsidR="002A078F" w:rsidRDefault="002A078F" w:rsidP="002A078F">
            <w:pPr>
              <w:spacing w:after="120"/>
              <w:jc w:val="center"/>
              <w:rPr>
                <w:rFonts w:ascii="Arial" w:eastAsia="Arial" w:hAnsi="Arial" w:cs="Arial"/>
                <w:b/>
                <w:sz w:val="20"/>
                <w:szCs w:val="20"/>
              </w:rPr>
            </w:pPr>
            <w:r>
              <w:rPr>
                <w:rFonts w:ascii="Arial" w:eastAsia="Arial" w:hAnsi="Arial" w:cs="Arial"/>
                <w:b/>
                <w:noProof/>
                <w:sz w:val="20"/>
                <w:szCs w:val="20"/>
              </w:rPr>
              <w:drawing>
                <wp:inline distT="0" distB="0" distL="0" distR="0" wp14:anchorId="0B4F7712" wp14:editId="0297A5D0">
                  <wp:extent cx="2136850" cy="28479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74480889949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880" cy="2880002"/>
                          </a:xfrm>
                          <a:prstGeom prst="rect">
                            <a:avLst/>
                          </a:prstGeom>
                        </pic:spPr>
                      </pic:pic>
                    </a:graphicData>
                  </a:graphic>
                </wp:inline>
              </w:drawing>
            </w:r>
          </w:p>
        </w:tc>
        <w:tc>
          <w:tcPr>
            <w:tcW w:w="3505" w:type="dxa"/>
            <w:vAlign w:val="center"/>
          </w:tcPr>
          <w:p w:rsidR="002A078F" w:rsidRDefault="002A078F" w:rsidP="003B54AE">
            <w:pPr>
              <w:spacing w:after="120"/>
              <w:jc w:val="both"/>
              <w:rPr>
                <w:rFonts w:ascii="Arial" w:eastAsia="Arial" w:hAnsi="Arial" w:cs="Arial"/>
                <w:b/>
                <w:sz w:val="20"/>
                <w:szCs w:val="20"/>
              </w:rPr>
            </w:pPr>
            <w:r>
              <w:rPr>
                <w:rFonts w:ascii="Arial" w:eastAsia="Arial" w:hAnsi="Arial" w:cs="Arial"/>
                <w:b/>
                <w:noProof/>
                <w:sz w:val="20"/>
                <w:szCs w:val="20"/>
              </w:rPr>
              <w:drawing>
                <wp:inline distT="0" distB="0" distL="0" distR="0" wp14:anchorId="26ED358B" wp14:editId="752BE7D7">
                  <wp:extent cx="1981072" cy="1485900"/>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480889922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6604" cy="1512551"/>
                          </a:xfrm>
                          <a:prstGeom prst="rect">
                            <a:avLst/>
                          </a:prstGeom>
                        </pic:spPr>
                      </pic:pic>
                    </a:graphicData>
                  </a:graphic>
                </wp:inline>
              </w:drawing>
            </w:r>
          </w:p>
        </w:tc>
      </w:tr>
      <w:tr w:rsidR="002A078F" w:rsidTr="002A078F">
        <w:trPr>
          <w:jc w:val="center"/>
        </w:trPr>
        <w:tc>
          <w:tcPr>
            <w:tcW w:w="3563" w:type="dxa"/>
            <w:vAlign w:val="center"/>
          </w:tcPr>
          <w:p w:rsidR="002A078F" w:rsidRDefault="002A078F" w:rsidP="002A078F">
            <w:pPr>
              <w:spacing w:after="120"/>
              <w:jc w:val="center"/>
              <w:rPr>
                <w:rFonts w:ascii="Arial" w:eastAsia="Arial" w:hAnsi="Arial" w:cs="Arial"/>
                <w:b/>
                <w:sz w:val="20"/>
                <w:szCs w:val="20"/>
              </w:rPr>
            </w:pPr>
            <w:r>
              <w:rPr>
                <w:rFonts w:ascii="Arial" w:eastAsia="Arial" w:hAnsi="Arial" w:cs="Arial"/>
                <w:b/>
                <w:noProof/>
                <w:sz w:val="20"/>
                <w:szCs w:val="20"/>
              </w:rPr>
              <w:drawing>
                <wp:inline distT="0" distB="0" distL="0" distR="0" wp14:anchorId="306A14D9" wp14:editId="70AE987A">
                  <wp:extent cx="2184261" cy="1638300"/>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4480889930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6562" cy="1647526"/>
                          </a:xfrm>
                          <a:prstGeom prst="rect">
                            <a:avLst/>
                          </a:prstGeom>
                        </pic:spPr>
                      </pic:pic>
                    </a:graphicData>
                  </a:graphic>
                </wp:inline>
              </w:drawing>
            </w:r>
          </w:p>
        </w:tc>
        <w:tc>
          <w:tcPr>
            <w:tcW w:w="3388" w:type="dxa"/>
            <w:vMerge/>
            <w:vAlign w:val="center"/>
          </w:tcPr>
          <w:p w:rsidR="002A078F" w:rsidRDefault="002A078F" w:rsidP="002A078F">
            <w:pPr>
              <w:spacing w:after="120"/>
              <w:jc w:val="center"/>
              <w:rPr>
                <w:rFonts w:ascii="Arial" w:eastAsia="Arial" w:hAnsi="Arial" w:cs="Arial"/>
                <w:b/>
                <w:sz w:val="20"/>
                <w:szCs w:val="20"/>
              </w:rPr>
            </w:pPr>
          </w:p>
        </w:tc>
        <w:tc>
          <w:tcPr>
            <w:tcW w:w="3505" w:type="dxa"/>
            <w:vMerge w:val="restart"/>
            <w:vAlign w:val="center"/>
          </w:tcPr>
          <w:p w:rsidR="002A078F" w:rsidRDefault="002A078F" w:rsidP="002A078F">
            <w:pPr>
              <w:jc w:val="both"/>
              <w:rPr>
                <w:rFonts w:ascii="Arial" w:eastAsia="Arial" w:hAnsi="Arial" w:cs="Arial"/>
                <w:b/>
                <w:sz w:val="20"/>
                <w:szCs w:val="20"/>
              </w:rPr>
            </w:pPr>
            <w:r>
              <w:rPr>
                <w:rFonts w:ascii="Arial" w:eastAsia="Arial" w:hAnsi="Arial" w:cs="Arial"/>
                <w:b/>
                <w:noProof/>
                <w:sz w:val="20"/>
                <w:szCs w:val="20"/>
              </w:rPr>
              <w:drawing>
                <wp:inline distT="0" distB="0" distL="0" distR="0" wp14:anchorId="5BEBED33" wp14:editId="04F79A98">
                  <wp:extent cx="2143994" cy="2857500"/>
                  <wp:effectExtent l="0" t="0" r="889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74480889993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6988" cy="2888146"/>
                          </a:xfrm>
                          <a:prstGeom prst="rect">
                            <a:avLst/>
                          </a:prstGeom>
                        </pic:spPr>
                      </pic:pic>
                    </a:graphicData>
                  </a:graphic>
                </wp:inline>
              </w:drawing>
            </w:r>
          </w:p>
        </w:tc>
      </w:tr>
      <w:tr w:rsidR="002A078F" w:rsidTr="002A078F">
        <w:trPr>
          <w:jc w:val="center"/>
        </w:trPr>
        <w:tc>
          <w:tcPr>
            <w:tcW w:w="3563" w:type="dxa"/>
            <w:vAlign w:val="center"/>
          </w:tcPr>
          <w:p w:rsidR="002A078F" w:rsidRDefault="002A078F" w:rsidP="002A078F">
            <w:pPr>
              <w:spacing w:after="120"/>
              <w:jc w:val="center"/>
              <w:rPr>
                <w:rFonts w:ascii="Arial" w:eastAsia="Arial" w:hAnsi="Arial" w:cs="Arial"/>
                <w:b/>
                <w:sz w:val="20"/>
                <w:szCs w:val="20"/>
              </w:rPr>
            </w:pPr>
            <w:r>
              <w:rPr>
                <w:rFonts w:ascii="Arial" w:eastAsia="Arial" w:hAnsi="Arial" w:cs="Arial"/>
                <w:b/>
                <w:noProof/>
                <w:sz w:val="20"/>
                <w:szCs w:val="20"/>
              </w:rPr>
              <w:drawing>
                <wp:inline distT="0" distB="0" distL="0" distR="0" wp14:anchorId="5D3A5FE6" wp14:editId="237DD119">
                  <wp:extent cx="2074203" cy="1555750"/>
                  <wp:effectExtent l="0" t="0" r="254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74480889969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7439" cy="1565678"/>
                          </a:xfrm>
                          <a:prstGeom prst="rect">
                            <a:avLst/>
                          </a:prstGeom>
                        </pic:spPr>
                      </pic:pic>
                    </a:graphicData>
                  </a:graphic>
                </wp:inline>
              </w:drawing>
            </w:r>
          </w:p>
        </w:tc>
        <w:tc>
          <w:tcPr>
            <w:tcW w:w="3388" w:type="dxa"/>
            <w:vAlign w:val="center"/>
          </w:tcPr>
          <w:p w:rsidR="002A078F" w:rsidRDefault="002A078F" w:rsidP="002A078F">
            <w:pPr>
              <w:spacing w:after="120"/>
              <w:jc w:val="center"/>
              <w:rPr>
                <w:rFonts w:ascii="Arial" w:eastAsia="Arial" w:hAnsi="Arial" w:cs="Arial"/>
                <w:b/>
                <w:sz w:val="20"/>
                <w:szCs w:val="20"/>
              </w:rPr>
            </w:pPr>
            <w:r>
              <w:rPr>
                <w:rFonts w:ascii="Arial" w:eastAsia="Arial" w:hAnsi="Arial" w:cs="Arial"/>
                <w:b/>
                <w:noProof/>
                <w:sz w:val="20"/>
                <w:szCs w:val="20"/>
              </w:rPr>
              <w:drawing>
                <wp:inline distT="0" distB="0" distL="0" distR="0" wp14:anchorId="2CCB7E0E" wp14:editId="15AFADFD">
                  <wp:extent cx="2074201" cy="1555750"/>
                  <wp:effectExtent l="0" t="0" r="254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74480889992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75493" cy="1556719"/>
                          </a:xfrm>
                          <a:prstGeom prst="rect">
                            <a:avLst/>
                          </a:prstGeom>
                        </pic:spPr>
                      </pic:pic>
                    </a:graphicData>
                  </a:graphic>
                </wp:inline>
              </w:drawing>
            </w:r>
          </w:p>
        </w:tc>
        <w:tc>
          <w:tcPr>
            <w:tcW w:w="3505" w:type="dxa"/>
            <w:vMerge/>
            <w:vAlign w:val="center"/>
          </w:tcPr>
          <w:p w:rsidR="002A078F" w:rsidRDefault="002A078F" w:rsidP="002A078F">
            <w:pPr>
              <w:jc w:val="both"/>
              <w:rPr>
                <w:rFonts w:ascii="Arial" w:eastAsia="Arial" w:hAnsi="Arial" w:cs="Arial"/>
                <w:b/>
                <w:sz w:val="20"/>
                <w:szCs w:val="20"/>
              </w:rPr>
            </w:pPr>
          </w:p>
        </w:tc>
      </w:tr>
      <w:tr w:rsidR="002A078F" w:rsidTr="002A078F">
        <w:trPr>
          <w:jc w:val="center"/>
        </w:trPr>
        <w:tc>
          <w:tcPr>
            <w:tcW w:w="3563" w:type="dxa"/>
            <w:vAlign w:val="center"/>
          </w:tcPr>
          <w:p w:rsidR="00127689" w:rsidRDefault="00127689" w:rsidP="003B54AE">
            <w:pPr>
              <w:spacing w:after="120"/>
              <w:jc w:val="both"/>
              <w:rPr>
                <w:rFonts w:ascii="Arial" w:eastAsia="Arial" w:hAnsi="Arial" w:cs="Arial"/>
                <w:b/>
                <w:sz w:val="20"/>
                <w:szCs w:val="20"/>
              </w:rPr>
            </w:pPr>
          </w:p>
        </w:tc>
        <w:tc>
          <w:tcPr>
            <w:tcW w:w="3388" w:type="dxa"/>
            <w:vAlign w:val="center"/>
          </w:tcPr>
          <w:p w:rsidR="00127689" w:rsidRDefault="00127689" w:rsidP="003B54AE">
            <w:pPr>
              <w:spacing w:after="120"/>
              <w:jc w:val="both"/>
              <w:rPr>
                <w:rFonts w:ascii="Arial" w:eastAsia="Arial" w:hAnsi="Arial" w:cs="Arial"/>
                <w:b/>
                <w:sz w:val="20"/>
                <w:szCs w:val="20"/>
              </w:rPr>
            </w:pPr>
          </w:p>
        </w:tc>
        <w:tc>
          <w:tcPr>
            <w:tcW w:w="3505" w:type="dxa"/>
            <w:vAlign w:val="center"/>
          </w:tcPr>
          <w:p w:rsidR="00127689" w:rsidRDefault="00127689" w:rsidP="003B54AE">
            <w:pPr>
              <w:spacing w:after="120"/>
              <w:jc w:val="both"/>
              <w:rPr>
                <w:rFonts w:ascii="Arial" w:eastAsia="Arial" w:hAnsi="Arial" w:cs="Arial"/>
                <w:b/>
                <w:sz w:val="20"/>
                <w:szCs w:val="20"/>
              </w:rPr>
            </w:pPr>
          </w:p>
        </w:tc>
      </w:tr>
    </w:tbl>
    <w:p w:rsidR="00127689" w:rsidRPr="00A74A1C" w:rsidRDefault="00127689" w:rsidP="003B54AE">
      <w:pPr>
        <w:spacing w:after="120"/>
        <w:jc w:val="both"/>
        <w:rPr>
          <w:rFonts w:ascii="Arial" w:eastAsia="Arial" w:hAnsi="Arial" w:cs="Arial"/>
          <w:b/>
          <w:sz w:val="20"/>
          <w:szCs w:val="20"/>
        </w:rPr>
      </w:pPr>
      <w:bookmarkStart w:id="0" w:name="_GoBack"/>
      <w:bookmarkEnd w:id="0"/>
    </w:p>
    <w:sectPr w:rsidR="00127689" w:rsidRPr="00A74A1C" w:rsidSect="00106CFE">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888" w:rsidRDefault="00117888" w:rsidP="00D32278">
      <w:r>
        <w:separator/>
      </w:r>
    </w:p>
  </w:endnote>
  <w:endnote w:type="continuationSeparator" w:id="0">
    <w:p w:rsidR="00117888" w:rsidRDefault="00117888" w:rsidP="00D3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888" w:rsidRDefault="00117888" w:rsidP="00D32278">
      <w:r>
        <w:separator/>
      </w:r>
    </w:p>
  </w:footnote>
  <w:footnote w:type="continuationSeparator" w:id="0">
    <w:p w:rsidR="00117888" w:rsidRDefault="00117888" w:rsidP="00D32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78" w:rsidRDefault="00D32278">
    <w:pPr>
      <w:pStyle w:val="En-tte"/>
    </w:pPr>
    <w:r>
      <w:t>DRH – Pôle apprentissage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543"/>
    <w:multiLevelType w:val="hybridMultilevel"/>
    <w:tmpl w:val="1318F020"/>
    <w:lvl w:ilvl="0" w:tplc="0B145A6A">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6131AE"/>
    <w:multiLevelType w:val="hybridMultilevel"/>
    <w:tmpl w:val="4BDC90C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BB128B9"/>
    <w:multiLevelType w:val="hybridMultilevel"/>
    <w:tmpl w:val="D186A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2F029F"/>
    <w:multiLevelType w:val="hybridMultilevel"/>
    <w:tmpl w:val="14A459B2"/>
    <w:lvl w:ilvl="0" w:tplc="3D8225B0">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5157C0"/>
    <w:multiLevelType w:val="hybridMultilevel"/>
    <w:tmpl w:val="9E8A9C9C"/>
    <w:lvl w:ilvl="0" w:tplc="3B48980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744C53"/>
    <w:multiLevelType w:val="hybridMultilevel"/>
    <w:tmpl w:val="C902CA80"/>
    <w:lvl w:ilvl="0" w:tplc="B184CA3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CC05E5"/>
    <w:multiLevelType w:val="hybridMultilevel"/>
    <w:tmpl w:val="882A32C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C28455A"/>
    <w:multiLevelType w:val="hybridMultilevel"/>
    <w:tmpl w:val="9F18F53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83C0A2B"/>
    <w:multiLevelType w:val="hybridMultilevel"/>
    <w:tmpl w:val="6C68712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A157B30"/>
    <w:multiLevelType w:val="hybridMultilevel"/>
    <w:tmpl w:val="872AE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9F0BB5"/>
    <w:multiLevelType w:val="hybridMultilevel"/>
    <w:tmpl w:val="786EB922"/>
    <w:lvl w:ilvl="0" w:tplc="00DC667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47A405A"/>
    <w:multiLevelType w:val="hybridMultilevel"/>
    <w:tmpl w:val="8DEC21A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4C7C6D63"/>
    <w:multiLevelType w:val="hybridMultilevel"/>
    <w:tmpl w:val="339443DC"/>
    <w:lvl w:ilvl="0" w:tplc="3D8225B0">
      <w:numFmt w:val="bullet"/>
      <w:lvlText w:val="-"/>
      <w:lvlJc w:val="left"/>
      <w:pPr>
        <w:ind w:left="1068" w:hanging="360"/>
      </w:pPr>
      <w:rPr>
        <w:rFonts w:ascii="Arial" w:eastAsia="Arial"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4FAA04DA"/>
    <w:multiLevelType w:val="hybridMultilevel"/>
    <w:tmpl w:val="BF50DD3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5020229E"/>
    <w:multiLevelType w:val="hybridMultilevel"/>
    <w:tmpl w:val="13FE3648"/>
    <w:lvl w:ilvl="0" w:tplc="3D8225B0">
      <w:numFmt w:val="bullet"/>
      <w:lvlText w:val="-"/>
      <w:lvlJc w:val="left"/>
      <w:pPr>
        <w:ind w:left="720" w:hanging="360"/>
      </w:pPr>
      <w:rPr>
        <w:rFonts w:ascii="Arial" w:eastAsia="Arial" w:hAnsi="Arial" w:cs="Arial" w:hint="default"/>
      </w:rPr>
    </w:lvl>
    <w:lvl w:ilvl="1" w:tplc="F6C2FBE6">
      <w:numFmt w:val="bullet"/>
      <w:lvlText w:val="•"/>
      <w:lvlJc w:val="left"/>
      <w:pPr>
        <w:ind w:left="1785" w:hanging="705"/>
      </w:pPr>
      <w:rPr>
        <w:rFonts w:ascii="Arial" w:eastAsia="Arial"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D87875"/>
    <w:multiLevelType w:val="hybridMultilevel"/>
    <w:tmpl w:val="DB4C8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3969D6"/>
    <w:multiLevelType w:val="hybridMultilevel"/>
    <w:tmpl w:val="F08233AA"/>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5A320A9F"/>
    <w:multiLevelType w:val="hybridMultilevel"/>
    <w:tmpl w:val="2CD8CA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700625"/>
    <w:multiLevelType w:val="hybridMultilevel"/>
    <w:tmpl w:val="CAC2F5E4"/>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9" w15:restartNumberingAfterBreak="0">
    <w:nsid w:val="5FFD37E6"/>
    <w:multiLevelType w:val="hybridMultilevel"/>
    <w:tmpl w:val="6778C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924F3D"/>
    <w:multiLevelType w:val="hybridMultilevel"/>
    <w:tmpl w:val="C30AF61A"/>
    <w:lvl w:ilvl="0" w:tplc="70DE91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AFE2ED6"/>
    <w:multiLevelType w:val="hybridMultilevel"/>
    <w:tmpl w:val="6A4C572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7F9A0B2B"/>
    <w:multiLevelType w:val="hybridMultilevel"/>
    <w:tmpl w:val="BA164E24"/>
    <w:lvl w:ilvl="0" w:tplc="FE02193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
  </w:num>
  <w:num w:numId="4">
    <w:abstractNumId w:val="17"/>
  </w:num>
  <w:num w:numId="5">
    <w:abstractNumId w:val="2"/>
  </w:num>
  <w:num w:numId="6">
    <w:abstractNumId w:val="15"/>
  </w:num>
  <w:num w:numId="7">
    <w:abstractNumId w:val="19"/>
  </w:num>
  <w:num w:numId="8">
    <w:abstractNumId w:val="21"/>
  </w:num>
  <w:num w:numId="9">
    <w:abstractNumId w:val="18"/>
  </w:num>
  <w:num w:numId="10">
    <w:abstractNumId w:val="4"/>
  </w:num>
  <w:num w:numId="11">
    <w:abstractNumId w:val="0"/>
  </w:num>
  <w:num w:numId="12">
    <w:abstractNumId w:val="5"/>
  </w:num>
  <w:num w:numId="13">
    <w:abstractNumId w:val="12"/>
  </w:num>
  <w:num w:numId="14">
    <w:abstractNumId w:val="3"/>
  </w:num>
  <w:num w:numId="15">
    <w:abstractNumId w:val="14"/>
  </w:num>
  <w:num w:numId="16">
    <w:abstractNumId w:val="20"/>
  </w:num>
  <w:num w:numId="17">
    <w:abstractNumId w:val="7"/>
  </w:num>
  <w:num w:numId="18">
    <w:abstractNumId w:val="6"/>
  </w:num>
  <w:num w:numId="19">
    <w:abstractNumId w:val="10"/>
  </w:num>
  <w:num w:numId="20">
    <w:abstractNumId w:val="13"/>
  </w:num>
  <w:num w:numId="21">
    <w:abstractNumId w:val="22"/>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EA"/>
    <w:rsid w:val="00094DE3"/>
    <w:rsid w:val="000D316D"/>
    <w:rsid w:val="000F19A7"/>
    <w:rsid w:val="00106CFE"/>
    <w:rsid w:val="00117888"/>
    <w:rsid w:val="00127689"/>
    <w:rsid w:val="001764E8"/>
    <w:rsid w:val="001B7268"/>
    <w:rsid w:val="001C46B5"/>
    <w:rsid w:val="00207242"/>
    <w:rsid w:val="00286A8C"/>
    <w:rsid w:val="002A078F"/>
    <w:rsid w:val="002B07F7"/>
    <w:rsid w:val="002C16A0"/>
    <w:rsid w:val="002F2B19"/>
    <w:rsid w:val="0036307E"/>
    <w:rsid w:val="003B54AE"/>
    <w:rsid w:val="003B60A0"/>
    <w:rsid w:val="003C3D33"/>
    <w:rsid w:val="003E3C8C"/>
    <w:rsid w:val="003F70DD"/>
    <w:rsid w:val="00415B8E"/>
    <w:rsid w:val="004A2332"/>
    <w:rsid w:val="004A48C5"/>
    <w:rsid w:val="004B6CAB"/>
    <w:rsid w:val="004E6B40"/>
    <w:rsid w:val="004F07D7"/>
    <w:rsid w:val="004F5AD3"/>
    <w:rsid w:val="00536D60"/>
    <w:rsid w:val="005433B4"/>
    <w:rsid w:val="005F4F15"/>
    <w:rsid w:val="006170EB"/>
    <w:rsid w:val="0061718A"/>
    <w:rsid w:val="00617CEE"/>
    <w:rsid w:val="00631FDF"/>
    <w:rsid w:val="006362A4"/>
    <w:rsid w:val="00657A91"/>
    <w:rsid w:val="00683CD3"/>
    <w:rsid w:val="006B1CDA"/>
    <w:rsid w:val="006B50F9"/>
    <w:rsid w:val="006C029A"/>
    <w:rsid w:val="006E122F"/>
    <w:rsid w:val="006F164E"/>
    <w:rsid w:val="00703BA5"/>
    <w:rsid w:val="00714C4E"/>
    <w:rsid w:val="00785CE5"/>
    <w:rsid w:val="007C193C"/>
    <w:rsid w:val="007F7570"/>
    <w:rsid w:val="00813822"/>
    <w:rsid w:val="00832E16"/>
    <w:rsid w:val="00854224"/>
    <w:rsid w:val="0089562A"/>
    <w:rsid w:val="00907B80"/>
    <w:rsid w:val="00910B38"/>
    <w:rsid w:val="00967688"/>
    <w:rsid w:val="00970CA1"/>
    <w:rsid w:val="00996019"/>
    <w:rsid w:val="009E5FDE"/>
    <w:rsid w:val="009F1396"/>
    <w:rsid w:val="00A32E1B"/>
    <w:rsid w:val="00A444E0"/>
    <w:rsid w:val="00A74A1C"/>
    <w:rsid w:val="00AB10F6"/>
    <w:rsid w:val="00AE21FF"/>
    <w:rsid w:val="00AF4B51"/>
    <w:rsid w:val="00B74D05"/>
    <w:rsid w:val="00B84CFE"/>
    <w:rsid w:val="00C4520A"/>
    <w:rsid w:val="00C872C5"/>
    <w:rsid w:val="00C94B1D"/>
    <w:rsid w:val="00CA2252"/>
    <w:rsid w:val="00D05B80"/>
    <w:rsid w:val="00D32278"/>
    <w:rsid w:val="00D42920"/>
    <w:rsid w:val="00D522D0"/>
    <w:rsid w:val="00DB10B9"/>
    <w:rsid w:val="00DF1DE0"/>
    <w:rsid w:val="00E41955"/>
    <w:rsid w:val="00EB69CF"/>
    <w:rsid w:val="00EC22F1"/>
    <w:rsid w:val="00EC72F9"/>
    <w:rsid w:val="00F875EA"/>
    <w:rsid w:val="00F905DE"/>
    <w:rsid w:val="00FA37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4578"/>
  <w15:chartTrackingRefBased/>
  <w15:docId w15:val="{9D314B8B-AFDD-47B5-8B1D-FEE013FC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E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444E0"/>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44E0"/>
    <w:rPr>
      <w:rFonts w:ascii="Segoe UI" w:eastAsia="Times New Roman" w:hAnsi="Segoe UI" w:cs="Segoe UI"/>
      <w:sz w:val="18"/>
      <w:szCs w:val="18"/>
      <w:lang w:eastAsia="fr-FR"/>
    </w:rPr>
  </w:style>
  <w:style w:type="paragraph" w:styleId="Paragraphedeliste">
    <w:name w:val="List Paragraph"/>
    <w:basedOn w:val="Normal"/>
    <w:uiPriority w:val="34"/>
    <w:qFormat/>
    <w:rsid w:val="00F905DE"/>
    <w:pPr>
      <w:ind w:left="720"/>
      <w:contextualSpacing/>
    </w:pPr>
  </w:style>
  <w:style w:type="character" w:styleId="Lienhypertexte">
    <w:name w:val="Hyperlink"/>
    <w:basedOn w:val="Policepardfaut"/>
    <w:uiPriority w:val="99"/>
    <w:unhideWhenUsed/>
    <w:rsid w:val="001C46B5"/>
    <w:rPr>
      <w:color w:val="0563C1" w:themeColor="hyperlink"/>
      <w:u w:val="single"/>
    </w:rPr>
  </w:style>
  <w:style w:type="paragraph" w:styleId="En-tte">
    <w:name w:val="header"/>
    <w:basedOn w:val="Normal"/>
    <w:link w:val="En-tteCar"/>
    <w:uiPriority w:val="99"/>
    <w:unhideWhenUsed/>
    <w:rsid w:val="00D32278"/>
    <w:pPr>
      <w:tabs>
        <w:tab w:val="center" w:pos="4536"/>
        <w:tab w:val="right" w:pos="9072"/>
      </w:tabs>
    </w:pPr>
  </w:style>
  <w:style w:type="character" w:customStyle="1" w:styleId="En-tteCar">
    <w:name w:val="En-tête Car"/>
    <w:basedOn w:val="Policepardfaut"/>
    <w:link w:val="En-tte"/>
    <w:uiPriority w:val="99"/>
    <w:rsid w:val="00D3227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32278"/>
    <w:pPr>
      <w:tabs>
        <w:tab w:val="center" w:pos="4536"/>
        <w:tab w:val="right" w:pos="9072"/>
      </w:tabs>
    </w:pPr>
  </w:style>
  <w:style w:type="character" w:customStyle="1" w:styleId="PieddepageCar">
    <w:name w:val="Pied de page Car"/>
    <w:basedOn w:val="Policepardfaut"/>
    <w:link w:val="Pieddepage"/>
    <w:uiPriority w:val="99"/>
    <w:rsid w:val="00D32278"/>
    <w:rPr>
      <w:rFonts w:ascii="Times New Roman" w:eastAsia="Times New Roman" w:hAnsi="Times New Roman" w:cs="Times New Roman"/>
      <w:sz w:val="24"/>
      <w:szCs w:val="24"/>
      <w:lang w:eastAsia="fr-FR"/>
    </w:rPr>
  </w:style>
  <w:style w:type="table" w:styleId="Grilledutableau">
    <w:name w:val="Table Grid"/>
    <w:basedOn w:val="TableauNormal"/>
    <w:uiPriority w:val="39"/>
    <w:rsid w:val="00127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9C847-8578-4365-8208-5AEB0ABD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Pages>
  <Words>724</Words>
  <Characters>3984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Chalon-sur-Saone</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DENIS</dc:creator>
  <cp:keywords/>
  <dc:description/>
  <cp:lastModifiedBy>Pierre-Olivier DUPEYRAT</cp:lastModifiedBy>
  <cp:revision>17</cp:revision>
  <cp:lastPrinted>2024-01-29T11:06:00Z</cp:lastPrinted>
  <dcterms:created xsi:type="dcterms:W3CDTF">2025-01-20T08:16:00Z</dcterms:created>
  <dcterms:modified xsi:type="dcterms:W3CDTF">2025-04-30T08:06:00Z</dcterms:modified>
</cp:coreProperties>
</file>