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3407" w14:textId="2EE4444F" w:rsidR="003B2458" w:rsidRPr="003B2458" w:rsidRDefault="004733BC" w:rsidP="00380C63">
      <w:pPr>
        <w:spacing w:after="0" w:line="240" w:lineRule="auto"/>
        <w:jc w:val="center"/>
        <w:rPr>
          <w:rFonts w:ascii="Arial Black" w:hAnsi="Arial Black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="Arial Black" w:hAnsi="Arial Black" w:cstheme="minorHAnsi"/>
          <w:b/>
          <w:color w:val="000000"/>
          <w:sz w:val="24"/>
          <w:szCs w:val="24"/>
          <w:shd w:val="clear" w:color="auto" w:fill="FFFFFF"/>
        </w:rPr>
        <w:t xml:space="preserve">Symcéa </w:t>
      </w:r>
      <w:r w:rsidR="001D318F">
        <w:rPr>
          <w:rFonts w:ascii="Arial Black" w:hAnsi="Arial Black" w:cstheme="minorHAnsi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Arial Black" w:hAnsi="Arial Black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380C63">
        <w:rPr>
          <w:rFonts w:ascii="Arial Black" w:hAnsi="Arial Black" w:cstheme="minorHAnsi"/>
          <w:b/>
          <w:color w:val="000000"/>
          <w:sz w:val="24"/>
          <w:szCs w:val="24"/>
          <w:shd w:val="clear" w:color="auto" w:fill="FFFFFF"/>
        </w:rPr>
        <w:t>Technicien(ne) érosion des sols agricoles</w:t>
      </w:r>
    </w:p>
    <w:p w14:paraId="1B4DD014" w14:textId="77777777" w:rsidR="003B2458" w:rsidRDefault="003B2458" w:rsidP="00E46D84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3345973" w14:textId="77777777" w:rsidR="001D318F" w:rsidRDefault="007E1766" w:rsidP="00E46D84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B2458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Poste à </w:t>
      </w:r>
      <w:r w:rsidR="00721014" w:rsidRPr="003B2458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temps complet  </w:t>
      </w:r>
      <w:r w:rsidR="001D318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contractuel </w:t>
      </w:r>
      <w:r w:rsidR="00E76241">
        <w:rPr>
          <w:rFonts w:cstheme="minorHAnsi"/>
          <w:b/>
          <w:color w:val="000000"/>
          <w:sz w:val="24"/>
          <w:szCs w:val="24"/>
          <w:shd w:val="clear" w:color="auto" w:fill="FFFFFF"/>
        </w:rPr>
        <w:t>ou titulaire</w:t>
      </w:r>
    </w:p>
    <w:p w14:paraId="5A583D82" w14:textId="77777777" w:rsidR="001D318F" w:rsidRDefault="001D318F" w:rsidP="00E46D84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63C8EEE" w14:textId="77777777" w:rsidR="00762BD5" w:rsidRDefault="004044A1" w:rsidP="00563587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Créé en 2000</w:t>
      </w:r>
      <w:r w:rsidR="00563587">
        <w:rPr>
          <w:rFonts w:cstheme="minorHAnsi"/>
          <w:color w:val="000000"/>
          <w:sz w:val="24"/>
          <w:szCs w:val="24"/>
          <w:shd w:val="clear" w:color="auto" w:fill="FFFFFF"/>
        </w:rPr>
        <w:t xml:space="preserve"> et étendu aux bassins de l’Authie en 2019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le Sy</w:t>
      </w:r>
      <w:r w:rsidR="00563587">
        <w:rPr>
          <w:rFonts w:cstheme="minorHAnsi"/>
          <w:color w:val="000000"/>
          <w:sz w:val="24"/>
          <w:szCs w:val="24"/>
          <w:shd w:val="clear" w:color="auto" w:fill="FFFFFF"/>
        </w:rPr>
        <w:t>ndicat Mixte Canche et Authie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(Symcéa) exerce des compétences et missions relatives à</w:t>
      </w:r>
      <w:r w:rsidR="00563587">
        <w:rPr>
          <w:rFonts w:cstheme="minorHAnsi"/>
          <w:color w:val="000000"/>
          <w:sz w:val="24"/>
          <w:szCs w:val="24"/>
          <w:shd w:val="clear" w:color="auto" w:fill="FFFFFF"/>
        </w:rPr>
        <w:t xml:space="preserve"> l’animation des Commissions Locales de l’Eau, 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la </w:t>
      </w:r>
      <w:r w:rsidR="00762BD5">
        <w:rPr>
          <w:rFonts w:cstheme="minorHAnsi"/>
          <w:color w:val="000000"/>
          <w:sz w:val="24"/>
          <w:szCs w:val="24"/>
          <w:shd w:val="clear" w:color="auto" w:fill="FFFFFF"/>
        </w:rPr>
        <w:t xml:space="preserve">gestion des milieux </w:t>
      </w:r>
      <w:r w:rsidR="00563587">
        <w:rPr>
          <w:rFonts w:cstheme="minorHAnsi"/>
          <w:color w:val="000000"/>
          <w:sz w:val="24"/>
          <w:szCs w:val="24"/>
          <w:shd w:val="clear" w:color="auto" w:fill="FFFFFF"/>
        </w:rPr>
        <w:t xml:space="preserve">aquatiques et la prévention </w:t>
      </w:r>
      <w:r w:rsidR="005F105D">
        <w:rPr>
          <w:rFonts w:cstheme="minorHAnsi"/>
          <w:color w:val="000000"/>
          <w:sz w:val="24"/>
          <w:szCs w:val="24"/>
          <w:shd w:val="clear" w:color="auto" w:fill="FFFFFF"/>
        </w:rPr>
        <w:t>des inondations et notamment des phénomènes de</w:t>
      </w:r>
      <w:r w:rsidR="00563587">
        <w:rPr>
          <w:rFonts w:cstheme="minorHAnsi"/>
          <w:color w:val="000000"/>
          <w:sz w:val="24"/>
          <w:szCs w:val="24"/>
          <w:shd w:val="clear" w:color="auto" w:fill="FFFFFF"/>
        </w:rPr>
        <w:t xml:space="preserve"> ruissellement.</w:t>
      </w:r>
    </w:p>
    <w:p w14:paraId="5C43E6BF" w14:textId="77777777" w:rsidR="00563587" w:rsidRDefault="00563587" w:rsidP="00563587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Ainsi, depuis 2008, le Symcéa anime et met en œuvre des actions et programme</w:t>
      </w:r>
      <w:r w:rsidR="00772571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pour la maîtrise de l’érosion des sols et du ruissellement</w:t>
      </w:r>
      <w:r w:rsidR="00772571">
        <w:rPr>
          <w:rFonts w:cstheme="minorHAnsi"/>
          <w:color w:val="000000"/>
          <w:sz w:val="24"/>
          <w:szCs w:val="24"/>
          <w:shd w:val="clear" w:color="auto" w:fill="FFFFFF"/>
        </w:rPr>
        <w:t xml:space="preserve"> en partenariat avec les EPCI et la Chambre d’Agriculture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A ce titre, le Symcéa a développé une expertise et un savoir-faire pour la mise en place et l’entretien des ouvrages d’hydraulique douce.</w:t>
      </w:r>
    </w:p>
    <w:p w14:paraId="33F8269F" w14:textId="77777777" w:rsidR="007E1766" w:rsidRDefault="007E1766" w:rsidP="00E46D84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9141F6F" w14:textId="061D57A8" w:rsidR="00380C63" w:rsidRDefault="00721014" w:rsidP="00380C63">
      <w:pPr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380C63">
        <w:rPr>
          <w:rFonts w:cstheme="minorHAnsi"/>
          <w:b/>
          <w:color w:val="000000"/>
          <w:shd w:val="clear" w:color="auto" w:fill="FFFFFF"/>
        </w:rPr>
        <w:t>Sous l’autorité de la Directrice</w:t>
      </w:r>
      <w:r w:rsidR="001A0730" w:rsidRPr="00380C63">
        <w:rPr>
          <w:rFonts w:cstheme="minorHAnsi"/>
          <w:b/>
          <w:color w:val="000000"/>
          <w:shd w:val="clear" w:color="auto" w:fill="FFFFFF"/>
        </w:rPr>
        <w:t xml:space="preserve"> et en coordination avec les autres agents chargés de la mission</w:t>
      </w:r>
      <w:r w:rsidRPr="00380C63">
        <w:rPr>
          <w:rFonts w:cstheme="minorHAnsi"/>
          <w:b/>
          <w:color w:val="000000"/>
          <w:shd w:val="clear" w:color="auto" w:fill="FFFFFF"/>
        </w:rPr>
        <w:t xml:space="preserve">, </w:t>
      </w:r>
      <w:r w:rsidR="00266210" w:rsidRPr="00380C63">
        <w:rPr>
          <w:rFonts w:cstheme="minorHAnsi"/>
          <w:b/>
          <w:color w:val="000000"/>
          <w:shd w:val="clear" w:color="auto" w:fill="FFFFFF"/>
        </w:rPr>
        <w:t>l</w:t>
      </w:r>
      <w:r w:rsidR="00380C63" w:rsidRPr="00380C63">
        <w:rPr>
          <w:rFonts w:cstheme="minorHAnsi"/>
          <w:b/>
          <w:color w:val="000000"/>
          <w:shd w:val="clear" w:color="auto" w:fill="FFFFFF"/>
        </w:rPr>
        <w:t>e(la) technicien(ne)</w:t>
      </w:r>
      <w:r w:rsidR="00266210" w:rsidRPr="00380C63">
        <w:rPr>
          <w:rFonts w:cstheme="minorHAnsi"/>
          <w:b/>
          <w:color w:val="000000"/>
          <w:shd w:val="clear" w:color="auto" w:fill="FFFFFF"/>
        </w:rPr>
        <w:t xml:space="preserve"> </w:t>
      </w:r>
      <w:r w:rsidRPr="00380C63">
        <w:rPr>
          <w:rFonts w:cstheme="minorHAnsi"/>
          <w:b/>
          <w:color w:val="000000"/>
          <w:shd w:val="clear" w:color="auto" w:fill="FFFFFF"/>
        </w:rPr>
        <w:t>exercera les mi</w:t>
      </w:r>
      <w:r w:rsidR="00612D6F" w:rsidRPr="00380C63">
        <w:rPr>
          <w:rFonts w:cstheme="minorHAnsi"/>
          <w:b/>
          <w:color w:val="000000"/>
          <w:shd w:val="clear" w:color="auto" w:fill="FFFFFF"/>
        </w:rPr>
        <w:t>s</w:t>
      </w:r>
      <w:r w:rsidRPr="00380C63">
        <w:rPr>
          <w:rFonts w:cstheme="minorHAnsi"/>
          <w:b/>
          <w:color w:val="000000"/>
          <w:shd w:val="clear" w:color="auto" w:fill="FFFFFF"/>
        </w:rPr>
        <w:t>sions suivantes</w:t>
      </w:r>
      <w:r w:rsidR="007E1766" w:rsidRPr="00380C63">
        <w:rPr>
          <w:rFonts w:cstheme="minorHAnsi"/>
          <w:b/>
          <w:color w:val="000000"/>
          <w:shd w:val="clear" w:color="auto" w:fill="FFFFFF"/>
        </w:rPr>
        <w:t> :</w:t>
      </w:r>
    </w:p>
    <w:p w14:paraId="24B3319D" w14:textId="3E96D701" w:rsidR="00380C63" w:rsidRPr="00380C63" w:rsidRDefault="00380C63" w:rsidP="00380C6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380C63">
        <w:rPr>
          <w:b/>
        </w:rPr>
        <w:t>Appui technique auprès des collectivités pour l’élaboration et la mise en œuvre des programmes de lutte contre le ruissellement et l’érosion des sols (création et plan des gestion) sur l</w:t>
      </w:r>
      <w:r w:rsidR="00EF325D">
        <w:rPr>
          <w:b/>
        </w:rPr>
        <w:t>es</w:t>
      </w:r>
      <w:r w:rsidRPr="00380C63">
        <w:rPr>
          <w:b/>
        </w:rPr>
        <w:t xml:space="preserve"> Vallée</w:t>
      </w:r>
      <w:r w:rsidR="00EF325D">
        <w:rPr>
          <w:b/>
        </w:rPr>
        <w:t>s</w:t>
      </w:r>
      <w:r w:rsidRPr="00380C63">
        <w:rPr>
          <w:b/>
        </w:rPr>
        <w:t xml:space="preserve"> de l</w:t>
      </w:r>
      <w:r w:rsidR="00EF325D">
        <w:rPr>
          <w:b/>
        </w:rPr>
        <w:t>a Canche et de l’Authie</w:t>
      </w:r>
      <w:r w:rsidRPr="00380C63">
        <w:rPr>
          <w:b/>
        </w:rPr>
        <w:t xml:space="preserve"> ;</w:t>
      </w:r>
    </w:p>
    <w:p w14:paraId="09830E1C" w14:textId="0C205CF3" w:rsidR="00380C63" w:rsidRPr="00380C63" w:rsidRDefault="00380C63" w:rsidP="00380C6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380C63">
        <w:rPr>
          <w:b/>
        </w:rPr>
        <w:t xml:space="preserve">Appui </w:t>
      </w:r>
      <w:r w:rsidR="00EF325D">
        <w:rPr>
          <w:b/>
        </w:rPr>
        <w:t>technique</w:t>
      </w:r>
      <w:r w:rsidRPr="00380C63">
        <w:rPr>
          <w:b/>
        </w:rPr>
        <w:t xml:space="preserve"> pour la préparation des bilans des différents programmes de travaux </w:t>
      </w:r>
    </w:p>
    <w:p w14:paraId="03C0F2E3" w14:textId="15A16796" w:rsidR="00380C63" w:rsidRPr="00EF325D" w:rsidRDefault="00380C63" w:rsidP="00EF325D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380C63">
        <w:rPr>
          <w:b/>
        </w:rPr>
        <w:t xml:space="preserve">Expertise technique notamment dans le cadre du partenariat avec le BRGM pour la modélisation </w:t>
      </w:r>
      <w:r w:rsidRPr="00EF325D">
        <w:rPr>
          <w:b/>
        </w:rPr>
        <w:t xml:space="preserve">des ruissellements </w:t>
      </w:r>
    </w:p>
    <w:p w14:paraId="1C32901C" w14:textId="77777777" w:rsidR="00380C63" w:rsidRPr="00380C63" w:rsidRDefault="00380C63" w:rsidP="00380C63">
      <w:pPr>
        <w:spacing w:after="0" w:line="240" w:lineRule="auto"/>
        <w:ind w:right="-1700"/>
        <w:jc w:val="both"/>
        <w:rPr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815"/>
        <w:gridCol w:w="7252"/>
      </w:tblGrid>
      <w:tr w:rsidR="00380C63" w:rsidRPr="00B31F2E" w14:paraId="663BDA1A" w14:textId="77777777" w:rsidTr="00FE1B17">
        <w:tc>
          <w:tcPr>
            <w:tcW w:w="1815" w:type="dxa"/>
          </w:tcPr>
          <w:p w14:paraId="5ACF4B00" w14:textId="77777777" w:rsidR="00380C63" w:rsidRPr="00B31F2E" w:rsidRDefault="00380C63" w:rsidP="00FE1B1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1F2E">
              <w:rPr>
                <w:rFonts w:ascii="Calibri" w:hAnsi="Calibri"/>
                <w:b/>
                <w:sz w:val="24"/>
                <w:szCs w:val="24"/>
              </w:rPr>
              <w:t>Activités</w:t>
            </w:r>
          </w:p>
          <w:p w14:paraId="5D7D2E1E" w14:textId="77777777" w:rsidR="00380C63" w:rsidRPr="00B31F2E" w:rsidRDefault="00380C63" w:rsidP="00FE1B1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1F2E">
              <w:rPr>
                <w:rFonts w:ascii="Calibri" w:hAnsi="Calibri"/>
                <w:b/>
                <w:sz w:val="24"/>
                <w:szCs w:val="24"/>
              </w:rPr>
              <w:t>Savoir-Faire</w:t>
            </w:r>
          </w:p>
        </w:tc>
        <w:tc>
          <w:tcPr>
            <w:tcW w:w="7252" w:type="dxa"/>
          </w:tcPr>
          <w:p w14:paraId="265F1D0D" w14:textId="77777777" w:rsidR="00380C63" w:rsidRPr="00B31F2E" w:rsidRDefault="00380C63" w:rsidP="00380C63">
            <w:pPr>
              <w:pStyle w:val="Paragraphedeliste"/>
              <w:numPr>
                <w:ilvl w:val="0"/>
                <w:numId w:val="6"/>
              </w:numPr>
              <w:ind w:left="72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B31F2E">
              <w:rPr>
                <w:rFonts w:ascii="Calibri" w:hAnsi="Calibri"/>
                <w:b/>
                <w:sz w:val="24"/>
                <w:szCs w:val="24"/>
              </w:rPr>
              <w:t>Appui technique auprès des collectivités pour l’élaboration et la mise en œuvre des programmes de lutte contre le ruissellement et l’érosion des sols et des plans de gestion</w:t>
            </w:r>
          </w:p>
          <w:p w14:paraId="29EA41A2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Réaliser les diagnostics des territoires et proposer les aménagements et actions nécessaires en concertation avec les maîtres d’ouvrages et les partenaires ;</w:t>
            </w:r>
          </w:p>
          <w:p w14:paraId="1AE4A963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Evaluer et proposer les moyens de la mise en œuvre et accompagner le maître d’ouvrage notamment pour les aspects administratifs (DIG) ;</w:t>
            </w:r>
          </w:p>
          <w:p w14:paraId="51430405" w14:textId="6FFBC524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Piloter les missions d’assistance techniques  auprès des EPCI pour la mise en œuvre des travaux ; définir les objectifs, rédiger les pièces administratives, conduire et suivre l’exécution (avec le technicien);</w:t>
            </w:r>
          </w:p>
          <w:p w14:paraId="12FE117B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Suivre l’état d’avancement avec le maître d’ouvrage</w:t>
            </w:r>
          </w:p>
          <w:p w14:paraId="37F1511C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Evaluer les actions réalisées et tenir un tableau de bord à l’échelle du périmètre du Symcéa ;</w:t>
            </w:r>
          </w:p>
          <w:p w14:paraId="3FC16634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Améliorer la connaissance sur les différents phénomènes ; être force de proposition et mettre en place des partenariats.</w:t>
            </w:r>
          </w:p>
          <w:p w14:paraId="797ABA38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Coordonner avec les EPCI les démarches d’amélioration de la connaissance des phénomènes d’érosion et de ruissellement en réalisation les modélisations avec le logiciel Watersed</w:t>
            </w:r>
          </w:p>
          <w:p w14:paraId="7446F4AC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Assurer le suivi du partenariat avec le BRGM pour le déploiement du logiciel Watersed</w:t>
            </w:r>
          </w:p>
          <w:p w14:paraId="61254DEA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Assurer le suivi des actions menées avec la Chambre d’Agriculture et SOMEA liées aux conventions cadre</w:t>
            </w:r>
          </w:p>
          <w:p w14:paraId="6F2AE558" w14:textId="77777777" w:rsidR="00380C63" w:rsidRPr="00B31F2E" w:rsidRDefault="00380C63" w:rsidP="00FE1B17">
            <w:pPr>
              <w:ind w:left="720"/>
              <w:rPr>
                <w:rFonts w:ascii="Calibri" w:hAnsi="Calibri"/>
              </w:rPr>
            </w:pPr>
          </w:p>
          <w:p w14:paraId="5BAD4AEA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  <w:b/>
              </w:rPr>
            </w:pPr>
            <w:r w:rsidRPr="00B31F2E">
              <w:rPr>
                <w:rFonts w:ascii="Calibri" w:hAnsi="Calibri"/>
                <w:b/>
                <w:sz w:val="24"/>
                <w:szCs w:val="24"/>
              </w:rPr>
              <w:t>Actions menées dans le cadre des ATMO et DMO création et plan de gestion</w:t>
            </w:r>
            <w:r w:rsidRPr="00B31F2E">
              <w:rPr>
                <w:rFonts w:ascii="Calibri" w:hAnsi="Calibri"/>
                <w:b/>
              </w:rPr>
              <w:t> :</w:t>
            </w:r>
          </w:p>
          <w:p w14:paraId="221FED38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Rédaction des DCE ;</w:t>
            </w:r>
          </w:p>
          <w:p w14:paraId="3DDC3AA3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Suivi des prestataires ;</w:t>
            </w:r>
          </w:p>
          <w:p w14:paraId="44C24905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Animation des réunions de chantier ;</w:t>
            </w:r>
          </w:p>
          <w:p w14:paraId="6C781B6E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Gestion des conflits et des problèmes humains lors des chantiers ;</w:t>
            </w:r>
          </w:p>
          <w:p w14:paraId="56C14A43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Visa des factures ;</w:t>
            </w:r>
          </w:p>
          <w:p w14:paraId="504ADD8E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Etablissement des DGD ; synthèse des travaux (bilans, cartes, tableaux…)</w:t>
            </w:r>
          </w:p>
          <w:p w14:paraId="63227C08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Valorisation et communication autour des programmes.</w:t>
            </w:r>
          </w:p>
          <w:p w14:paraId="3CFD2AE1" w14:textId="77777777" w:rsidR="00380C63" w:rsidRPr="00B31F2E" w:rsidRDefault="00380C63" w:rsidP="00FE1B17">
            <w:pPr>
              <w:ind w:left="720"/>
              <w:rPr>
                <w:rFonts w:ascii="Calibri" w:hAnsi="Calibri"/>
              </w:rPr>
            </w:pPr>
          </w:p>
          <w:p w14:paraId="5762C9C3" w14:textId="77777777" w:rsidR="00380C63" w:rsidRPr="00B31F2E" w:rsidRDefault="00380C63" w:rsidP="00380C63">
            <w:pPr>
              <w:pStyle w:val="Paragraphedeliste"/>
              <w:numPr>
                <w:ilvl w:val="0"/>
                <w:numId w:val="6"/>
              </w:numPr>
              <w:ind w:left="72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B31F2E">
              <w:rPr>
                <w:rFonts w:ascii="Calibri" w:hAnsi="Calibri"/>
                <w:b/>
                <w:sz w:val="24"/>
                <w:szCs w:val="24"/>
              </w:rPr>
              <w:t>Animation et coordination du réseau partenarial, valorisation des actions </w:t>
            </w:r>
          </w:p>
          <w:p w14:paraId="03E31762" w14:textId="525C0925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Animer le réseau des partenaires sur le</w:t>
            </w:r>
            <w:r w:rsidR="00EF325D">
              <w:rPr>
                <w:rFonts w:ascii="Calibri" w:hAnsi="Calibri"/>
              </w:rPr>
              <w:t>s</w:t>
            </w:r>
            <w:r w:rsidRPr="00B31F2E">
              <w:rPr>
                <w:rFonts w:ascii="Calibri" w:hAnsi="Calibri"/>
              </w:rPr>
              <w:t xml:space="preserve"> bassin</w:t>
            </w:r>
            <w:r w:rsidR="00EF325D">
              <w:rPr>
                <w:rFonts w:ascii="Calibri" w:hAnsi="Calibri"/>
              </w:rPr>
              <w:t>s</w:t>
            </w:r>
            <w:r w:rsidRPr="00B31F2E">
              <w:rPr>
                <w:rFonts w:ascii="Calibri" w:hAnsi="Calibri"/>
              </w:rPr>
              <w:t xml:space="preserve"> versant</w:t>
            </w:r>
            <w:r w:rsidR="00EF325D">
              <w:rPr>
                <w:rFonts w:ascii="Calibri" w:hAnsi="Calibri"/>
              </w:rPr>
              <w:t>s</w:t>
            </w:r>
            <w:r w:rsidRPr="00B31F2E">
              <w:rPr>
                <w:rFonts w:ascii="Calibri" w:hAnsi="Calibri"/>
              </w:rPr>
              <w:t xml:space="preserve"> de la Canche</w:t>
            </w:r>
            <w:r w:rsidR="00EF325D">
              <w:rPr>
                <w:rFonts w:ascii="Calibri" w:hAnsi="Calibri"/>
              </w:rPr>
              <w:t xml:space="preserve"> et de l’Authie</w:t>
            </w:r>
            <w:r w:rsidRPr="00B31F2E">
              <w:rPr>
                <w:rFonts w:ascii="Calibri" w:hAnsi="Calibri"/>
              </w:rPr>
              <w:t> : valoriser les actions réalisées, diffuser… ;</w:t>
            </w:r>
          </w:p>
          <w:p w14:paraId="3A04C067" w14:textId="27CC9812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Valoriser les actions d</w:t>
            </w:r>
            <w:r w:rsidR="00EF325D">
              <w:rPr>
                <w:rFonts w:ascii="Calibri" w:hAnsi="Calibri"/>
              </w:rPr>
              <w:t>es</w:t>
            </w:r>
            <w:r w:rsidRPr="00B31F2E">
              <w:rPr>
                <w:rFonts w:ascii="Calibri" w:hAnsi="Calibri"/>
              </w:rPr>
              <w:t xml:space="preserve"> bassin</w:t>
            </w:r>
            <w:r w:rsidR="00EF325D">
              <w:rPr>
                <w:rFonts w:ascii="Calibri" w:hAnsi="Calibri"/>
              </w:rPr>
              <w:t>s</w:t>
            </w:r>
            <w:r w:rsidRPr="00B31F2E">
              <w:rPr>
                <w:rFonts w:ascii="Calibri" w:hAnsi="Calibri"/>
              </w:rPr>
              <w:t xml:space="preserve"> versant</w:t>
            </w:r>
            <w:r w:rsidR="00EF325D">
              <w:rPr>
                <w:rFonts w:ascii="Calibri" w:hAnsi="Calibri"/>
              </w:rPr>
              <w:t>s</w:t>
            </w:r>
            <w:r w:rsidRPr="00B31F2E">
              <w:rPr>
                <w:rFonts w:ascii="Calibri" w:hAnsi="Calibri"/>
              </w:rPr>
              <w:t xml:space="preserve"> auprès des partenaires institutionnels et des acteurs extérieurs ;</w:t>
            </w:r>
          </w:p>
          <w:p w14:paraId="6355F2ED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Améliorer la connaissance en s’appuyant sur des partenariats ;</w:t>
            </w:r>
          </w:p>
          <w:p w14:paraId="7355612F" w14:textId="77777777" w:rsidR="00380C63" w:rsidRPr="00B31F2E" w:rsidRDefault="00380C63" w:rsidP="00FE1B17">
            <w:pPr>
              <w:ind w:left="720"/>
              <w:rPr>
                <w:rFonts w:ascii="Calibri" w:hAnsi="Calibri"/>
              </w:rPr>
            </w:pPr>
          </w:p>
          <w:p w14:paraId="2D7E4847" w14:textId="77777777" w:rsidR="00380C63" w:rsidRPr="00B31F2E" w:rsidRDefault="00380C63" w:rsidP="00380C63">
            <w:pPr>
              <w:pStyle w:val="Paragraphedeliste"/>
              <w:numPr>
                <w:ilvl w:val="0"/>
                <w:numId w:val="6"/>
              </w:numPr>
              <w:spacing w:line="256" w:lineRule="auto"/>
              <w:ind w:left="72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B31F2E">
              <w:rPr>
                <w:rFonts w:ascii="Calibri" w:hAnsi="Calibri"/>
                <w:b/>
                <w:sz w:val="24"/>
                <w:szCs w:val="24"/>
              </w:rPr>
              <w:t>Expertise technique dans le cadre des projets portés par le Symcéa (études, recherches)</w:t>
            </w:r>
          </w:p>
          <w:p w14:paraId="60A79D8A" w14:textId="77777777" w:rsidR="00380C63" w:rsidRPr="00380C63" w:rsidRDefault="00380C63" w:rsidP="00380C63">
            <w:pPr>
              <w:pStyle w:val="Paragraphedeliste"/>
              <w:numPr>
                <w:ilvl w:val="1"/>
                <w:numId w:val="6"/>
              </w:numPr>
              <w:spacing w:line="256" w:lineRule="auto"/>
              <w:ind w:left="1440"/>
              <w:jc w:val="both"/>
              <w:rPr>
                <w:rFonts w:ascii="Calibri" w:hAnsi="Calibri"/>
              </w:rPr>
            </w:pPr>
            <w:r w:rsidRPr="00380C63">
              <w:rPr>
                <w:rFonts w:ascii="Calibri" w:hAnsi="Calibri"/>
              </w:rPr>
              <w:t>Expertise, gestion et suivi des projets ;</w:t>
            </w:r>
          </w:p>
          <w:p w14:paraId="1953977E" w14:textId="77777777" w:rsidR="00380C63" w:rsidRPr="00380C63" w:rsidRDefault="00380C63" w:rsidP="00380C63">
            <w:pPr>
              <w:pStyle w:val="Paragraphedeliste"/>
              <w:numPr>
                <w:ilvl w:val="1"/>
                <w:numId w:val="6"/>
              </w:numPr>
              <w:spacing w:line="256" w:lineRule="auto"/>
              <w:ind w:left="1440"/>
              <w:jc w:val="both"/>
              <w:rPr>
                <w:rFonts w:ascii="Calibri" w:hAnsi="Calibri"/>
              </w:rPr>
            </w:pPr>
            <w:r w:rsidRPr="00380C63">
              <w:rPr>
                <w:rFonts w:ascii="Calibri" w:hAnsi="Calibri"/>
              </w:rPr>
              <w:t>Préparation des réunions ;</w:t>
            </w:r>
          </w:p>
          <w:p w14:paraId="36E786E1" w14:textId="77777777" w:rsidR="00380C63" w:rsidRPr="00380C63" w:rsidRDefault="00380C63" w:rsidP="00380C63">
            <w:pPr>
              <w:pStyle w:val="Paragraphedeliste"/>
              <w:numPr>
                <w:ilvl w:val="1"/>
                <w:numId w:val="6"/>
              </w:numPr>
              <w:spacing w:line="256" w:lineRule="auto"/>
              <w:ind w:left="1440"/>
              <w:jc w:val="both"/>
              <w:rPr>
                <w:rFonts w:ascii="Calibri" w:hAnsi="Calibri"/>
              </w:rPr>
            </w:pPr>
            <w:r w:rsidRPr="00380C63">
              <w:rPr>
                <w:rFonts w:ascii="Calibri" w:hAnsi="Calibri"/>
              </w:rPr>
              <w:t>Relationnel avec les partenaires.</w:t>
            </w:r>
          </w:p>
          <w:p w14:paraId="6B2E31DD" w14:textId="77777777" w:rsidR="00380C63" w:rsidRPr="00B31F2E" w:rsidRDefault="00380C63" w:rsidP="00FE1B1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80C63" w:rsidRPr="00B31F2E" w14:paraId="577D2036" w14:textId="77777777" w:rsidTr="00FE1B17">
        <w:tc>
          <w:tcPr>
            <w:tcW w:w="1815" w:type="dxa"/>
          </w:tcPr>
          <w:p w14:paraId="212B0A2A" w14:textId="77777777" w:rsidR="00380C63" w:rsidRPr="00B31F2E" w:rsidRDefault="00380C63" w:rsidP="00FE1B1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1F2E">
              <w:rPr>
                <w:rFonts w:ascii="Calibri" w:hAnsi="Calibri"/>
                <w:b/>
                <w:sz w:val="24"/>
                <w:szCs w:val="24"/>
              </w:rPr>
              <w:t>Compétences</w:t>
            </w:r>
          </w:p>
          <w:p w14:paraId="0B31A442" w14:textId="77777777" w:rsidR="00380C63" w:rsidRPr="00B31F2E" w:rsidRDefault="00380C63" w:rsidP="00FE1B1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1F2E">
              <w:rPr>
                <w:rFonts w:ascii="Calibri" w:hAnsi="Calibri"/>
                <w:b/>
                <w:sz w:val="24"/>
                <w:szCs w:val="24"/>
              </w:rPr>
              <w:t>Savoirs</w:t>
            </w:r>
          </w:p>
        </w:tc>
        <w:tc>
          <w:tcPr>
            <w:tcW w:w="7252" w:type="dxa"/>
          </w:tcPr>
          <w:p w14:paraId="0A7737E5" w14:textId="3B115C1A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 xml:space="preserve">Maîtrise de la connaissance technique (phénomènes, outils de gestion, </w:t>
            </w:r>
            <w:r w:rsidRPr="00B31F2E">
              <w:rPr>
                <w:rFonts w:ascii="Calibri" w:hAnsi="Calibri"/>
              </w:rPr>
              <w:t>dispositifs,  …</w:t>
            </w:r>
            <w:r w:rsidRPr="00B31F2E">
              <w:rPr>
                <w:rFonts w:ascii="Calibri" w:hAnsi="Calibri"/>
              </w:rPr>
              <w:t>) ;</w:t>
            </w:r>
          </w:p>
          <w:p w14:paraId="1AA7FD59" w14:textId="53E31112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 xml:space="preserve">Rédaction, mise en forme des dossiers et des supports de </w:t>
            </w:r>
            <w:r w:rsidRPr="00B31F2E">
              <w:rPr>
                <w:rFonts w:ascii="Calibri" w:hAnsi="Calibri"/>
              </w:rPr>
              <w:t>réunion ;</w:t>
            </w:r>
          </w:p>
          <w:p w14:paraId="39AEF8CE" w14:textId="373B5BC9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 xml:space="preserve">SIG, création et </w:t>
            </w:r>
            <w:r w:rsidRPr="00B31F2E">
              <w:rPr>
                <w:rFonts w:ascii="Calibri" w:hAnsi="Calibri"/>
              </w:rPr>
              <w:t>lecture de</w:t>
            </w:r>
            <w:r w:rsidRPr="00B31F2E">
              <w:rPr>
                <w:rFonts w:ascii="Calibri" w:hAnsi="Calibri"/>
              </w:rPr>
              <w:t xml:space="preserve"> cartes</w:t>
            </w:r>
          </w:p>
          <w:p w14:paraId="088BB687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 xml:space="preserve">Utilisation du logiciel de modélisation Watersed </w:t>
            </w:r>
          </w:p>
          <w:p w14:paraId="72E61BA7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Interventions et animation (réunions…).</w:t>
            </w:r>
          </w:p>
          <w:p w14:paraId="00BFC1DE" w14:textId="77777777" w:rsidR="00380C63" w:rsidRPr="00B31F2E" w:rsidRDefault="00380C63" w:rsidP="00FE1B17">
            <w:pPr>
              <w:ind w:left="36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649AB28" w14:textId="77777777" w:rsidR="00380C63" w:rsidRPr="00B31F2E" w:rsidRDefault="00380C63" w:rsidP="00380C6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380649" w14:textId="77777777" w:rsidR="00380C63" w:rsidRPr="00B31F2E" w:rsidRDefault="00380C63" w:rsidP="00380C63"/>
    <w:tbl>
      <w:tblPr>
        <w:tblStyle w:val="Grilledutableau"/>
        <w:tblpPr w:leftFromText="141" w:rightFromText="141" w:tblpY="420"/>
        <w:tblW w:w="9067" w:type="dxa"/>
        <w:tblLook w:val="04A0" w:firstRow="1" w:lastRow="0" w:firstColumn="1" w:lastColumn="0" w:noHBand="0" w:noVBand="1"/>
      </w:tblPr>
      <w:tblGrid>
        <w:gridCol w:w="1815"/>
        <w:gridCol w:w="7252"/>
      </w:tblGrid>
      <w:tr w:rsidR="00380C63" w:rsidRPr="00B31F2E" w14:paraId="3F5C730D" w14:textId="77777777" w:rsidTr="00FE1B17">
        <w:tc>
          <w:tcPr>
            <w:tcW w:w="1815" w:type="dxa"/>
          </w:tcPr>
          <w:p w14:paraId="1755CF9A" w14:textId="77777777" w:rsidR="00380C63" w:rsidRPr="00B31F2E" w:rsidRDefault="00380C63" w:rsidP="00FE1B1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1F2E">
              <w:rPr>
                <w:rFonts w:ascii="Calibri" w:hAnsi="Calibri"/>
                <w:b/>
                <w:sz w:val="24"/>
                <w:szCs w:val="24"/>
              </w:rPr>
              <w:t>Savoir-être</w:t>
            </w:r>
          </w:p>
        </w:tc>
        <w:tc>
          <w:tcPr>
            <w:tcW w:w="7252" w:type="dxa"/>
          </w:tcPr>
          <w:p w14:paraId="5209F973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Avoir le sens du service public,</w:t>
            </w:r>
          </w:p>
          <w:p w14:paraId="63B38B97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proofErr w:type="spellStart"/>
            <w:r w:rsidRPr="00B31F2E">
              <w:rPr>
                <w:rFonts w:ascii="Calibri" w:hAnsi="Calibri"/>
              </w:rPr>
              <w:t>Etre</w:t>
            </w:r>
            <w:proofErr w:type="spellEnd"/>
            <w:r w:rsidRPr="00B31F2E">
              <w:rPr>
                <w:rFonts w:ascii="Calibri" w:hAnsi="Calibri"/>
              </w:rPr>
              <w:t xml:space="preserve"> respectueux des obligations de discrétion et de confidentialité,</w:t>
            </w:r>
          </w:p>
          <w:p w14:paraId="79FEFF63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proofErr w:type="spellStart"/>
            <w:r w:rsidRPr="00B31F2E">
              <w:rPr>
                <w:rFonts w:ascii="Calibri" w:hAnsi="Calibri"/>
              </w:rPr>
              <w:t>Etre</w:t>
            </w:r>
            <w:proofErr w:type="spellEnd"/>
            <w:r w:rsidRPr="00B31F2E">
              <w:rPr>
                <w:rFonts w:ascii="Calibri" w:hAnsi="Calibri"/>
              </w:rPr>
              <w:t xml:space="preserve"> à l’écoute,</w:t>
            </w:r>
          </w:p>
          <w:p w14:paraId="46986982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proofErr w:type="spellStart"/>
            <w:r w:rsidRPr="00B31F2E">
              <w:rPr>
                <w:rFonts w:ascii="Calibri" w:hAnsi="Calibri"/>
              </w:rPr>
              <w:t>Etre</w:t>
            </w:r>
            <w:proofErr w:type="spellEnd"/>
            <w:r w:rsidRPr="00B31F2E">
              <w:rPr>
                <w:rFonts w:ascii="Calibri" w:hAnsi="Calibri"/>
              </w:rPr>
              <w:t xml:space="preserve"> réactif,</w:t>
            </w:r>
          </w:p>
          <w:p w14:paraId="60147378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proofErr w:type="spellStart"/>
            <w:r w:rsidRPr="00B31F2E">
              <w:rPr>
                <w:rFonts w:ascii="Calibri" w:hAnsi="Calibri"/>
              </w:rPr>
              <w:t>Etre</w:t>
            </w:r>
            <w:proofErr w:type="spellEnd"/>
            <w:r w:rsidRPr="00B31F2E">
              <w:rPr>
                <w:rFonts w:ascii="Calibri" w:hAnsi="Calibri"/>
              </w:rPr>
              <w:t xml:space="preserve"> organisé et rigoureux,</w:t>
            </w:r>
          </w:p>
          <w:p w14:paraId="0B9EBB3B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proofErr w:type="spellStart"/>
            <w:r w:rsidRPr="00B31F2E">
              <w:rPr>
                <w:rFonts w:ascii="Calibri" w:hAnsi="Calibri"/>
              </w:rPr>
              <w:t>Etre</w:t>
            </w:r>
            <w:proofErr w:type="spellEnd"/>
            <w:r w:rsidRPr="00B31F2E">
              <w:rPr>
                <w:rFonts w:ascii="Calibri" w:hAnsi="Calibri"/>
              </w:rPr>
              <w:t xml:space="preserve"> autonome,</w:t>
            </w:r>
          </w:p>
          <w:p w14:paraId="63818AD7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proofErr w:type="spellStart"/>
            <w:r w:rsidRPr="00B31F2E">
              <w:rPr>
                <w:rFonts w:ascii="Calibri" w:hAnsi="Calibri"/>
              </w:rPr>
              <w:t>Etre</w:t>
            </w:r>
            <w:proofErr w:type="spellEnd"/>
            <w:r w:rsidRPr="00B31F2E">
              <w:rPr>
                <w:rFonts w:ascii="Calibri" w:hAnsi="Calibri"/>
              </w:rPr>
              <w:t xml:space="preserve"> capable de travailler en équipe,</w:t>
            </w:r>
          </w:p>
          <w:p w14:paraId="7BB85416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Savoir fixer les objectifs et organiser la mise en œuvre et le planning ;</w:t>
            </w:r>
          </w:p>
          <w:p w14:paraId="697EC51A" w14:textId="77777777" w:rsidR="00380C63" w:rsidRPr="00B31F2E" w:rsidRDefault="00380C63" w:rsidP="00380C63">
            <w:pPr>
              <w:numPr>
                <w:ilvl w:val="0"/>
                <w:numId w:val="6"/>
              </w:numPr>
              <w:ind w:left="720"/>
              <w:rPr>
                <w:rFonts w:ascii="Calibri" w:hAnsi="Calibri"/>
              </w:rPr>
            </w:pPr>
            <w:r w:rsidRPr="00B31F2E">
              <w:rPr>
                <w:rFonts w:ascii="Calibri" w:hAnsi="Calibri"/>
              </w:rPr>
              <w:t>Savoir prendre des initiatives, à soumettre au responsable hiérarchique.</w:t>
            </w:r>
          </w:p>
        </w:tc>
      </w:tr>
    </w:tbl>
    <w:p w14:paraId="446D5B9A" w14:textId="77777777" w:rsidR="000D21C5" w:rsidRDefault="000D21C5" w:rsidP="00E46D8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8CBEAE1" w14:textId="77777777" w:rsidR="00380C63" w:rsidRPr="00E46D84" w:rsidRDefault="00380C63" w:rsidP="00E46D8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5F885D4" w14:textId="77777777" w:rsidR="00E82D2A" w:rsidRDefault="00E82D2A" w:rsidP="00E82D2A">
      <w:pPr>
        <w:spacing w:after="0" w:line="240" w:lineRule="auto"/>
        <w:jc w:val="both"/>
        <w:rPr>
          <w:sz w:val="24"/>
          <w:szCs w:val="24"/>
        </w:rPr>
      </w:pPr>
    </w:p>
    <w:p w14:paraId="6DA2A2C9" w14:textId="77777777" w:rsidR="00667363" w:rsidRDefault="00667363" w:rsidP="00E82D2A">
      <w:pPr>
        <w:spacing w:after="0" w:line="240" w:lineRule="auto"/>
        <w:jc w:val="both"/>
        <w:rPr>
          <w:sz w:val="24"/>
          <w:szCs w:val="24"/>
        </w:rPr>
      </w:pPr>
    </w:p>
    <w:p w14:paraId="2A32BEEE" w14:textId="77777777" w:rsidR="00E82D2A" w:rsidRPr="00BC4866" w:rsidRDefault="00BC4866" w:rsidP="00E82D2A">
      <w:pPr>
        <w:spacing w:after="0" w:line="240" w:lineRule="auto"/>
        <w:jc w:val="both"/>
        <w:rPr>
          <w:b/>
          <w:sz w:val="24"/>
          <w:szCs w:val="24"/>
        </w:rPr>
      </w:pPr>
      <w:r w:rsidRPr="00BC4866">
        <w:rPr>
          <w:b/>
          <w:sz w:val="24"/>
          <w:szCs w:val="24"/>
        </w:rPr>
        <w:t>Nature du poste :</w:t>
      </w:r>
    </w:p>
    <w:p w14:paraId="77D36AAD" w14:textId="77777777" w:rsidR="00BC4866" w:rsidRPr="00BC4866" w:rsidRDefault="00BC4866" w:rsidP="00E82D2A">
      <w:pPr>
        <w:spacing w:after="0" w:line="240" w:lineRule="auto"/>
        <w:jc w:val="both"/>
        <w:rPr>
          <w:sz w:val="24"/>
          <w:szCs w:val="24"/>
        </w:rPr>
      </w:pPr>
    </w:p>
    <w:p w14:paraId="04B07439" w14:textId="77777777" w:rsidR="001601FA" w:rsidRDefault="00E82D2A" w:rsidP="00E82D2A">
      <w:pPr>
        <w:spacing w:after="0" w:line="240" w:lineRule="auto"/>
        <w:jc w:val="both"/>
        <w:rPr>
          <w:sz w:val="24"/>
          <w:szCs w:val="24"/>
        </w:rPr>
      </w:pPr>
      <w:r w:rsidRPr="00BC4866">
        <w:rPr>
          <w:sz w:val="24"/>
          <w:szCs w:val="24"/>
        </w:rPr>
        <w:t>Recrutement</w:t>
      </w:r>
      <w:r w:rsidR="001601FA">
        <w:rPr>
          <w:sz w:val="24"/>
          <w:szCs w:val="24"/>
        </w:rPr>
        <w:t> :</w:t>
      </w:r>
    </w:p>
    <w:p w14:paraId="00676E7A" w14:textId="2E2441AE" w:rsidR="00F14E45" w:rsidRDefault="004144C1" w:rsidP="000A2BF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Titulaire : Technicien</w:t>
      </w:r>
      <w:r w:rsidR="00667363">
        <w:rPr>
          <w:sz w:val="24"/>
          <w:szCs w:val="24"/>
        </w:rPr>
        <w:t>, ingénieur</w:t>
      </w:r>
    </w:p>
    <w:p w14:paraId="1B05E18A" w14:textId="77777777" w:rsidR="001601FA" w:rsidRDefault="006C2309" w:rsidP="000A2BF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Contractuel (CDD 3</w:t>
      </w:r>
      <w:r w:rsidR="00A01B40">
        <w:rPr>
          <w:sz w:val="24"/>
          <w:szCs w:val="24"/>
        </w:rPr>
        <w:t xml:space="preserve"> an</w:t>
      </w:r>
      <w:r>
        <w:rPr>
          <w:sz w:val="24"/>
          <w:szCs w:val="24"/>
        </w:rPr>
        <w:t>s</w:t>
      </w:r>
      <w:r w:rsidR="00A01B40">
        <w:rPr>
          <w:sz w:val="24"/>
          <w:szCs w:val="24"/>
        </w:rPr>
        <w:t xml:space="preserve"> renouvelable) ;</w:t>
      </w:r>
    </w:p>
    <w:p w14:paraId="4BAA2CD9" w14:textId="77777777" w:rsidR="00A01B40" w:rsidRDefault="00F85565" w:rsidP="000A2BF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Rémunération : </w:t>
      </w:r>
      <w:r w:rsidR="00183C6E">
        <w:rPr>
          <w:sz w:val="24"/>
          <w:szCs w:val="24"/>
        </w:rPr>
        <w:t>selon expérience et</w:t>
      </w:r>
      <w:r w:rsidR="00FB79A3">
        <w:rPr>
          <w:sz w:val="24"/>
          <w:szCs w:val="24"/>
        </w:rPr>
        <w:t>/ou</w:t>
      </w:r>
      <w:r w:rsidR="00183C6E">
        <w:rPr>
          <w:sz w:val="24"/>
          <w:szCs w:val="24"/>
        </w:rPr>
        <w:t xml:space="preserve"> statut ;</w:t>
      </w:r>
    </w:p>
    <w:p w14:paraId="5A874E28" w14:textId="293F6E23" w:rsidR="009B1FCD" w:rsidRPr="00A01B40" w:rsidRDefault="009B1FCD" w:rsidP="000A2BF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Poste à pourvoir </w:t>
      </w:r>
      <w:r w:rsidR="00667363">
        <w:rPr>
          <w:sz w:val="24"/>
          <w:szCs w:val="24"/>
        </w:rPr>
        <w:t>dès que possible</w:t>
      </w:r>
    </w:p>
    <w:p w14:paraId="13CE3FC2" w14:textId="77777777" w:rsidR="00BC4866" w:rsidRPr="00BC4866" w:rsidRDefault="00BC4866" w:rsidP="00E82D2A">
      <w:pPr>
        <w:spacing w:after="0" w:line="240" w:lineRule="auto"/>
        <w:jc w:val="both"/>
        <w:rPr>
          <w:sz w:val="24"/>
          <w:szCs w:val="24"/>
        </w:rPr>
      </w:pPr>
    </w:p>
    <w:p w14:paraId="6A70A62D" w14:textId="26CB65F3" w:rsidR="00BC4866" w:rsidRPr="00BC4866" w:rsidRDefault="00E82D2A" w:rsidP="00E82D2A">
      <w:pPr>
        <w:spacing w:after="0" w:line="240" w:lineRule="auto"/>
        <w:jc w:val="both"/>
        <w:rPr>
          <w:sz w:val="24"/>
          <w:szCs w:val="24"/>
        </w:rPr>
      </w:pPr>
      <w:r w:rsidRPr="00BC4866">
        <w:rPr>
          <w:sz w:val="24"/>
          <w:szCs w:val="24"/>
        </w:rPr>
        <w:t xml:space="preserve">Localisation : </w:t>
      </w:r>
      <w:r w:rsidR="00667363">
        <w:rPr>
          <w:sz w:val="24"/>
          <w:szCs w:val="24"/>
        </w:rPr>
        <w:t xml:space="preserve">34 route d’Hesdin 62770 </w:t>
      </w:r>
      <w:proofErr w:type="spellStart"/>
      <w:r w:rsidR="00667363">
        <w:rPr>
          <w:sz w:val="24"/>
          <w:szCs w:val="24"/>
        </w:rPr>
        <w:t>Auchy</w:t>
      </w:r>
      <w:proofErr w:type="spellEnd"/>
      <w:r w:rsidR="00667363">
        <w:rPr>
          <w:sz w:val="24"/>
          <w:szCs w:val="24"/>
        </w:rPr>
        <w:t>-les-Hesdin</w:t>
      </w:r>
      <w:r w:rsidR="00BC4866" w:rsidRPr="00BC4866">
        <w:rPr>
          <w:sz w:val="24"/>
          <w:szCs w:val="24"/>
        </w:rPr>
        <w:t xml:space="preserve"> (Pas-de-Calais)</w:t>
      </w:r>
    </w:p>
    <w:p w14:paraId="7EA40F18" w14:textId="77777777" w:rsidR="00BC4866" w:rsidRDefault="00BC4866" w:rsidP="00E82D2A">
      <w:pPr>
        <w:spacing w:after="0" w:line="240" w:lineRule="auto"/>
        <w:jc w:val="both"/>
      </w:pPr>
    </w:p>
    <w:p w14:paraId="76E40A7F" w14:textId="77777777" w:rsidR="00BC4866" w:rsidRPr="00BC4866" w:rsidRDefault="00BC4866" w:rsidP="00E82D2A">
      <w:pPr>
        <w:spacing w:after="0" w:line="240" w:lineRule="auto"/>
        <w:jc w:val="both"/>
        <w:rPr>
          <w:b/>
          <w:sz w:val="24"/>
          <w:szCs w:val="24"/>
        </w:rPr>
      </w:pPr>
      <w:r w:rsidRPr="00BC4866">
        <w:rPr>
          <w:b/>
          <w:sz w:val="24"/>
          <w:szCs w:val="24"/>
        </w:rPr>
        <w:t xml:space="preserve">Modalités du recrutement </w:t>
      </w:r>
    </w:p>
    <w:p w14:paraId="257390DE" w14:textId="77777777" w:rsidR="00BC4866" w:rsidRDefault="00BC4866" w:rsidP="00E82D2A">
      <w:pPr>
        <w:spacing w:after="0" w:line="240" w:lineRule="auto"/>
        <w:jc w:val="both"/>
      </w:pPr>
    </w:p>
    <w:p w14:paraId="76CEC339" w14:textId="4DA6607A" w:rsidR="00BC4866" w:rsidRPr="00BC4866" w:rsidRDefault="00BC4866" w:rsidP="00E82D2A">
      <w:pPr>
        <w:spacing w:after="0" w:line="240" w:lineRule="auto"/>
        <w:jc w:val="both"/>
        <w:rPr>
          <w:sz w:val="24"/>
          <w:szCs w:val="24"/>
        </w:rPr>
      </w:pPr>
      <w:r w:rsidRPr="00BC4866">
        <w:rPr>
          <w:sz w:val="24"/>
          <w:szCs w:val="24"/>
        </w:rPr>
        <w:t>Le dossier de candidature comprendra</w:t>
      </w:r>
      <w:r w:rsidR="00E82D2A" w:rsidRPr="00BC4866">
        <w:rPr>
          <w:sz w:val="24"/>
          <w:szCs w:val="24"/>
        </w:rPr>
        <w:t xml:space="preserve"> une lettre de motivation manuscrite et un curriculum vitae détaillé. </w:t>
      </w:r>
    </w:p>
    <w:p w14:paraId="75246C3F" w14:textId="18E078A4" w:rsidR="00E82D2A" w:rsidRDefault="00F55CE0" w:rsidP="00E82D2A">
      <w:pPr>
        <w:spacing w:after="0" w:line="240" w:lineRule="auto"/>
        <w:jc w:val="both"/>
        <w:rPr>
          <w:sz w:val="24"/>
          <w:szCs w:val="24"/>
        </w:rPr>
      </w:pPr>
      <w:r w:rsidRPr="004E5360">
        <w:rPr>
          <w:sz w:val="24"/>
          <w:szCs w:val="24"/>
        </w:rPr>
        <w:t>Les dossiers doivent être adressés par courrier à Monsieur le Président du Symcéa,</w:t>
      </w:r>
      <w:r w:rsidR="00A31BDD">
        <w:rPr>
          <w:sz w:val="24"/>
          <w:szCs w:val="24"/>
        </w:rPr>
        <w:t xml:space="preserve"> </w:t>
      </w:r>
      <w:r w:rsidR="00667363">
        <w:rPr>
          <w:sz w:val="24"/>
          <w:szCs w:val="24"/>
        </w:rPr>
        <w:t xml:space="preserve">34 route d’Hesdin 62770 </w:t>
      </w:r>
      <w:proofErr w:type="spellStart"/>
      <w:r w:rsidR="00667363">
        <w:rPr>
          <w:sz w:val="24"/>
          <w:szCs w:val="24"/>
        </w:rPr>
        <w:t>Auchy</w:t>
      </w:r>
      <w:proofErr w:type="spellEnd"/>
      <w:r w:rsidR="00667363">
        <w:rPr>
          <w:sz w:val="24"/>
          <w:szCs w:val="24"/>
        </w:rPr>
        <w:t>-les-Hesdin</w:t>
      </w:r>
    </w:p>
    <w:p w14:paraId="1159A78C" w14:textId="1B7CDC07" w:rsidR="00A31BDD" w:rsidRDefault="00A31BDD" w:rsidP="00E82D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 par mail : </w:t>
      </w:r>
      <w:hyperlink r:id="rId7" w:history="1">
        <w:r w:rsidR="00EF325D" w:rsidRPr="00CE5691">
          <w:rPr>
            <w:rStyle w:val="Lienhypertexte"/>
            <w:sz w:val="24"/>
            <w:szCs w:val="24"/>
          </w:rPr>
          <w:t>emilie.delattre@symcea.fr</w:t>
        </w:r>
      </w:hyperlink>
      <w:r w:rsidR="00EF325D">
        <w:rPr>
          <w:sz w:val="24"/>
          <w:szCs w:val="24"/>
        </w:rPr>
        <w:t xml:space="preserve"> </w:t>
      </w:r>
    </w:p>
    <w:p w14:paraId="0268C5F6" w14:textId="77777777" w:rsidR="00667363" w:rsidRPr="004E5360" w:rsidRDefault="00667363" w:rsidP="00E82D2A">
      <w:pPr>
        <w:spacing w:after="0" w:line="240" w:lineRule="auto"/>
        <w:jc w:val="both"/>
        <w:rPr>
          <w:sz w:val="24"/>
          <w:szCs w:val="24"/>
        </w:rPr>
      </w:pPr>
    </w:p>
    <w:p w14:paraId="377D66AC" w14:textId="77777777" w:rsidR="00F55CE0" w:rsidRPr="004E5360" w:rsidRDefault="00F55CE0" w:rsidP="00E82D2A">
      <w:pPr>
        <w:spacing w:after="0" w:line="240" w:lineRule="auto"/>
        <w:jc w:val="both"/>
        <w:rPr>
          <w:sz w:val="24"/>
          <w:szCs w:val="24"/>
        </w:rPr>
      </w:pPr>
    </w:p>
    <w:p w14:paraId="60D8B2E4" w14:textId="77777777" w:rsidR="00F55CE0" w:rsidRDefault="00F55CE0" w:rsidP="00E82D2A">
      <w:pPr>
        <w:spacing w:after="0" w:line="240" w:lineRule="auto"/>
        <w:jc w:val="both"/>
        <w:rPr>
          <w:sz w:val="24"/>
          <w:szCs w:val="24"/>
        </w:rPr>
      </w:pPr>
      <w:r w:rsidRPr="004E5360">
        <w:rPr>
          <w:sz w:val="24"/>
          <w:szCs w:val="24"/>
        </w:rPr>
        <w:t>Renseignements :</w:t>
      </w:r>
    </w:p>
    <w:p w14:paraId="7453CFEF" w14:textId="6E05F82D" w:rsidR="00FB58A0" w:rsidRDefault="00FB58A0" w:rsidP="00E82D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Emilie DELATTRE, </w:t>
      </w:r>
      <w:r w:rsidR="00667363">
        <w:rPr>
          <w:sz w:val="24"/>
          <w:szCs w:val="24"/>
        </w:rPr>
        <w:t>Responsable des pôles Milieux Aquatiques et érosion des sols :</w:t>
      </w:r>
      <w:r>
        <w:rPr>
          <w:sz w:val="24"/>
          <w:szCs w:val="24"/>
        </w:rPr>
        <w:t xml:space="preserve"> 03.21.06.77</w:t>
      </w:r>
      <w:r w:rsidR="00667363">
        <w:rPr>
          <w:sz w:val="24"/>
          <w:szCs w:val="24"/>
        </w:rPr>
        <w:t>.05</w:t>
      </w:r>
    </w:p>
    <w:p w14:paraId="2FC00E33" w14:textId="56D51123" w:rsidR="00667363" w:rsidRPr="004E5360" w:rsidRDefault="00667363" w:rsidP="00E82D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Secrétariat technique : 09.70.31.17.06</w:t>
      </w:r>
    </w:p>
    <w:p w14:paraId="4E5CEE5F" w14:textId="7F798F1A" w:rsidR="00F55CE0" w:rsidRDefault="00F55CE0" w:rsidP="00E82D2A">
      <w:pPr>
        <w:spacing w:after="0" w:line="240" w:lineRule="auto"/>
        <w:jc w:val="both"/>
        <w:rPr>
          <w:sz w:val="24"/>
          <w:szCs w:val="24"/>
        </w:rPr>
      </w:pPr>
    </w:p>
    <w:sectPr w:rsidR="00F55CE0" w:rsidSect="00A317FA">
      <w:head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B61B" w14:textId="77777777" w:rsidR="002E6998" w:rsidRDefault="002E6998" w:rsidP="0016171D">
      <w:pPr>
        <w:spacing w:after="0" w:line="240" w:lineRule="auto"/>
      </w:pPr>
      <w:r>
        <w:separator/>
      </w:r>
    </w:p>
  </w:endnote>
  <w:endnote w:type="continuationSeparator" w:id="0">
    <w:p w14:paraId="069F231B" w14:textId="77777777" w:rsidR="002E6998" w:rsidRDefault="002E6998" w:rsidP="0016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16B6" w14:textId="77777777" w:rsidR="002E6998" w:rsidRDefault="002E6998" w:rsidP="0016171D">
      <w:pPr>
        <w:spacing w:after="0" w:line="240" w:lineRule="auto"/>
      </w:pPr>
      <w:r>
        <w:separator/>
      </w:r>
    </w:p>
  </w:footnote>
  <w:footnote w:type="continuationSeparator" w:id="0">
    <w:p w14:paraId="3E48E82E" w14:textId="77777777" w:rsidR="002E6998" w:rsidRDefault="002E6998" w:rsidP="0016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B4E2" w14:textId="77777777" w:rsidR="0016171D" w:rsidRDefault="001617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017A443" wp14:editId="3FF30C92">
          <wp:simplePos x="0" y="0"/>
          <wp:positionH relativeFrom="margin">
            <wp:posOffset>322588</wp:posOffset>
          </wp:positionH>
          <wp:positionV relativeFrom="paragraph">
            <wp:posOffset>-219180</wp:posOffset>
          </wp:positionV>
          <wp:extent cx="1499499" cy="472763"/>
          <wp:effectExtent l="0" t="0" r="5715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499" cy="472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108E"/>
    <w:multiLevelType w:val="hybridMultilevel"/>
    <w:tmpl w:val="875EB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6D12"/>
    <w:multiLevelType w:val="hybridMultilevel"/>
    <w:tmpl w:val="3EAA6DA2"/>
    <w:lvl w:ilvl="0" w:tplc="D34A6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77EB"/>
    <w:multiLevelType w:val="hybridMultilevel"/>
    <w:tmpl w:val="CBD08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C35D4"/>
    <w:multiLevelType w:val="hybridMultilevel"/>
    <w:tmpl w:val="6EC02278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7044"/>
    <w:multiLevelType w:val="hybridMultilevel"/>
    <w:tmpl w:val="4198F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12AA"/>
    <w:multiLevelType w:val="hybridMultilevel"/>
    <w:tmpl w:val="9558EC4E"/>
    <w:lvl w:ilvl="0" w:tplc="D34A6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0372"/>
    <w:multiLevelType w:val="hybridMultilevel"/>
    <w:tmpl w:val="AB404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488C"/>
    <w:multiLevelType w:val="hybridMultilevel"/>
    <w:tmpl w:val="DB888A26"/>
    <w:lvl w:ilvl="0" w:tplc="F7507832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35E"/>
    <w:multiLevelType w:val="hybridMultilevel"/>
    <w:tmpl w:val="2A4CEA40"/>
    <w:lvl w:ilvl="0" w:tplc="FEC2E4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73DC7"/>
    <w:multiLevelType w:val="hybridMultilevel"/>
    <w:tmpl w:val="8486678E"/>
    <w:lvl w:ilvl="0" w:tplc="F7507832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49D7"/>
    <w:multiLevelType w:val="hybridMultilevel"/>
    <w:tmpl w:val="5776B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67F57"/>
    <w:multiLevelType w:val="hybridMultilevel"/>
    <w:tmpl w:val="05E8D128"/>
    <w:lvl w:ilvl="0" w:tplc="D34A6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7645E"/>
    <w:multiLevelType w:val="hybridMultilevel"/>
    <w:tmpl w:val="9CD4F79A"/>
    <w:lvl w:ilvl="0" w:tplc="9B6273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320B0"/>
    <w:multiLevelType w:val="hybridMultilevel"/>
    <w:tmpl w:val="907205EE"/>
    <w:lvl w:ilvl="0" w:tplc="F7507832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955808">
    <w:abstractNumId w:val="3"/>
  </w:num>
  <w:num w:numId="2" w16cid:durableId="949319848">
    <w:abstractNumId w:val="11"/>
  </w:num>
  <w:num w:numId="3" w16cid:durableId="1808430532">
    <w:abstractNumId w:val="5"/>
  </w:num>
  <w:num w:numId="4" w16cid:durableId="1870950541">
    <w:abstractNumId w:val="1"/>
  </w:num>
  <w:num w:numId="5" w16cid:durableId="2081249276">
    <w:abstractNumId w:val="2"/>
  </w:num>
  <w:num w:numId="6" w16cid:durableId="212349442">
    <w:abstractNumId w:val="13"/>
  </w:num>
  <w:num w:numId="7" w16cid:durableId="1162967471">
    <w:abstractNumId w:val="7"/>
  </w:num>
  <w:num w:numId="8" w16cid:durableId="591740589">
    <w:abstractNumId w:val="10"/>
  </w:num>
  <w:num w:numId="9" w16cid:durableId="531498580">
    <w:abstractNumId w:val="4"/>
  </w:num>
  <w:num w:numId="10" w16cid:durableId="1587419208">
    <w:abstractNumId w:val="0"/>
  </w:num>
  <w:num w:numId="11" w16cid:durableId="2042123330">
    <w:abstractNumId w:val="8"/>
  </w:num>
  <w:num w:numId="12" w16cid:durableId="427893424">
    <w:abstractNumId w:val="12"/>
  </w:num>
  <w:num w:numId="13" w16cid:durableId="1415010323">
    <w:abstractNumId w:val="9"/>
  </w:num>
  <w:num w:numId="14" w16cid:durableId="979117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CC"/>
    <w:rsid w:val="00044168"/>
    <w:rsid w:val="0007071D"/>
    <w:rsid w:val="000D21C5"/>
    <w:rsid w:val="00150260"/>
    <w:rsid w:val="001601FA"/>
    <w:rsid w:val="0016171D"/>
    <w:rsid w:val="001774DC"/>
    <w:rsid w:val="00183C6E"/>
    <w:rsid w:val="001A0730"/>
    <w:rsid w:val="001D318F"/>
    <w:rsid w:val="00217956"/>
    <w:rsid w:val="002207DC"/>
    <w:rsid w:val="00266210"/>
    <w:rsid w:val="002A5DDB"/>
    <w:rsid w:val="002E6998"/>
    <w:rsid w:val="00326D7B"/>
    <w:rsid w:val="00355FDE"/>
    <w:rsid w:val="0037282B"/>
    <w:rsid w:val="00380C63"/>
    <w:rsid w:val="003B2458"/>
    <w:rsid w:val="004044A1"/>
    <w:rsid w:val="004144C1"/>
    <w:rsid w:val="004733BC"/>
    <w:rsid w:val="004A1483"/>
    <w:rsid w:val="004D44AB"/>
    <w:rsid w:val="004E5360"/>
    <w:rsid w:val="00536DEF"/>
    <w:rsid w:val="00561525"/>
    <w:rsid w:val="00563587"/>
    <w:rsid w:val="005A64AA"/>
    <w:rsid w:val="005F105D"/>
    <w:rsid w:val="00612D6F"/>
    <w:rsid w:val="0062724F"/>
    <w:rsid w:val="0066137D"/>
    <w:rsid w:val="00667363"/>
    <w:rsid w:val="006C2309"/>
    <w:rsid w:val="00712F6A"/>
    <w:rsid w:val="00721014"/>
    <w:rsid w:val="0073674F"/>
    <w:rsid w:val="00747A37"/>
    <w:rsid w:val="00762BD5"/>
    <w:rsid w:val="00772571"/>
    <w:rsid w:val="00791F99"/>
    <w:rsid w:val="007E1766"/>
    <w:rsid w:val="00824BC7"/>
    <w:rsid w:val="0082519C"/>
    <w:rsid w:val="00895F53"/>
    <w:rsid w:val="0090242C"/>
    <w:rsid w:val="0095261E"/>
    <w:rsid w:val="009A3F47"/>
    <w:rsid w:val="009B1FCD"/>
    <w:rsid w:val="009D010B"/>
    <w:rsid w:val="00A01B40"/>
    <w:rsid w:val="00A317FA"/>
    <w:rsid w:val="00A31BDD"/>
    <w:rsid w:val="00A85AC2"/>
    <w:rsid w:val="00A874E0"/>
    <w:rsid w:val="00A919D2"/>
    <w:rsid w:val="00B405B4"/>
    <w:rsid w:val="00BC4866"/>
    <w:rsid w:val="00C013B6"/>
    <w:rsid w:val="00C04811"/>
    <w:rsid w:val="00C4146B"/>
    <w:rsid w:val="00C94F42"/>
    <w:rsid w:val="00C9575F"/>
    <w:rsid w:val="00D310F8"/>
    <w:rsid w:val="00D506C9"/>
    <w:rsid w:val="00D5258F"/>
    <w:rsid w:val="00D62F0C"/>
    <w:rsid w:val="00D90FCC"/>
    <w:rsid w:val="00D93760"/>
    <w:rsid w:val="00E11CCF"/>
    <w:rsid w:val="00E46D84"/>
    <w:rsid w:val="00E76241"/>
    <w:rsid w:val="00E82D2A"/>
    <w:rsid w:val="00EB526D"/>
    <w:rsid w:val="00EF325D"/>
    <w:rsid w:val="00EF5489"/>
    <w:rsid w:val="00F14E45"/>
    <w:rsid w:val="00F55CE0"/>
    <w:rsid w:val="00F66D4F"/>
    <w:rsid w:val="00F85565"/>
    <w:rsid w:val="00FB58A0"/>
    <w:rsid w:val="00F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86256"/>
  <w15:chartTrackingRefBased/>
  <w15:docId w15:val="{182A8A33-AE7F-416D-AE30-8E59E9C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15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71D"/>
  </w:style>
  <w:style w:type="paragraph" w:styleId="Pieddepage">
    <w:name w:val="footer"/>
    <w:basedOn w:val="Normal"/>
    <w:link w:val="PieddepageCar"/>
    <w:uiPriority w:val="99"/>
    <w:unhideWhenUsed/>
    <w:rsid w:val="0016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71D"/>
  </w:style>
  <w:style w:type="paragraph" w:styleId="Textedebulles">
    <w:name w:val="Balloon Text"/>
    <w:basedOn w:val="Normal"/>
    <w:link w:val="TextedebullesCar"/>
    <w:uiPriority w:val="99"/>
    <w:semiHidden/>
    <w:unhideWhenUsed/>
    <w:rsid w:val="009B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FC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32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3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ie.delattre@symce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CHERIGIE</dc:creator>
  <cp:keywords/>
  <dc:description/>
  <cp:lastModifiedBy>Poste12</cp:lastModifiedBy>
  <cp:revision>4</cp:revision>
  <cp:lastPrinted>2018-06-19T10:40:00Z</cp:lastPrinted>
  <dcterms:created xsi:type="dcterms:W3CDTF">2025-01-21T09:43:00Z</dcterms:created>
  <dcterms:modified xsi:type="dcterms:W3CDTF">2025-01-21T10:01:00Z</dcterms:modified>
</cp:coreProperties>
</file>